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C2352" w:rsidRPr="009C2352" w:rsidTr="009C2352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7"/>
              <w:gridCol w:w="4779"/>
              <w:gridCol w:w="1784"/>
            </w:tblGrid>
            <w:tr w:rsidR="009C2352" w:rsidRPr="009C2352">
              <w:trPr>
                <w:tblCellSpacing w:w="0" w:type="dxa"/>
              </w:trPr>
              <w:tc>
                <w:tcPr>
                  <w:tcW w:w="3000" w:type="dxa"/>
                  <w:vAlign w:val="bottom"/>
                  <w:hideMark/>
                </w:tcPr>
                <w:p w:rsidR="009C2352" w:rsidRPr="009C2352" w:rsidRDefault="009C2352">
                  <w:pPr>
                    <w:pStyle w:val="NormaleWeb"/>
                    <w:rPr>
                      <w:i/>
                      <w:iCs/>
                    </w:rPr>
                  </w:pPr>
                  <w:r w:rsidRPr="009C2352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9C2352" w:rsidRPr="009C2352" w:rsidRDefault="009C235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9C2352" w:rsidRPr="009C2352" w:rsidRDefault="009C2352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9C2352" w:rsidRPr="009C2352" w:rsidRDefault="009C2352">
            <w:pPr>
              <w:rPr>
                <w:rFonts w:eastAsia="Times New Roman"/>
                <w:i/>
                <w:iCs/>
                <w:vanish/>
              </w:rPr>
            </w:pPr>
            <w:bookmarkStart w:id="0" w:name="_GoBack"/>
            <w:bookmarkEnd w:id="0"/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9C2352" w:rsidRPr="009C2352">
              <w:trPr>
                <w:tblCellSpacing w:w="0" w:type="dxa"/>
              </w:trPr>
              <w:tc>
                <w:tcPr>
                  <w:tcW w:w="9750" w:type="dxa"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5115"/>
                    <w:gridCol w:w="1635"/>
                  </w:tblGrid>
                  <w:tr w:rsidR="009C2352" w:rsidRPr="009C2352">
                    <w:trPr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9C2352" w:rsidRPr="009C2352" w:rsidRDefault="009C2352">
                        <w:pPr>
                          <w:rPr>
                            <w:rFonts w:eastAsia="Times New Roman"/>
                            <w:i/>
                            <w:iCs/>
                          </w:rPr>
                        </w:pPr>
                        <w:r w:rsidRPr="009C2352">
                          <w:rPr>
                            <w:rFonts w:eastAsia="Times New Roman"/>
                            <w:i/>
                            <w:iCs/>
                            <w:noProof/>
                            <w:color w:val="4B98D7"/>
                          </w:rPr>
                          <w:drawing>
                            <wp:inline distT="0" distB="0" distL="0" distR="0">
                              <wp:extent cx="1751965" cy="473710"/>
                              <wp:effectExtent l="0" t="0" r="635" b="2540"/>
                              <wp:docPr id="2" name="Immagine 2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1965" cy="473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C2352">
                          <w:rPr>
                            <w:rFonts w:eastAsia="Times New Roman"/>
                            <w:i/>
                            <w:iCs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352" w:rsidRPr="009C2352" w:rsidRDefault="009C2352">
                        <w:pPr>
                          <w:rPr>
                            <w:rFonts w:eastAsia="Times New Roman"/>
                            <w:i/>
                            <w:iCs/>
                          </w:rPr>
                        </w:pPr>
                        <w:r w:rsidRPr="009C2352">
                          <w:rPr>
                            <w:rFonts w:eastAsia="Times New Roman"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1635" w:type="dxa"/>
                        <w:vAlign w:val="bottom"/>
                        <w:hideMark/>
                      </w:tcPr>
                      <w:p w:rsidR="009C2352" w:rsidRPr="009C2352" w:rsidRDefault="009C2352">
                        <w:pPr>
                          <w:pStyle w:val="text"/>
                          <w:jc w:val="center"/>
                          <w:rPr>
                            <w:i/>
                            <w:iCs/>
                          </w:rPr>
                        </w:pPr>
                        <w:r w:rsidRPr="009C2352">
                          <w:rPr>
                            <w:i/>
                            <w:iCs/>
                          </w:rPr>
                          <w:t>28 novembre 2019</w:t>
                        </w:r>
                      </w:p>
                    </w:tc>
                  </w:tr>
                </w:tbl>
                <w:p w:rsidR="009C2352" w:rsidRPr="009C2352" w:rsidRDefault="009C2352">
                  <w:pPr>
                    <w:rPr>
                      <w:rFonts w:eastAsia="Times New Roman"/>
                      <w:i/>
                      <w:iCs/>
                      <w:vanish/>
                    </w:rPr>
                  </w:pPr>
                </w:p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2"/>
                    <w:gridCol w:w="1518"/>
                  </w:tblGrid>
                  <w:tr w:rsidR="009C2352" w:rsidRPr="009C235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C2352" w:rsidRPr="009C2352" w:rsidRDefault="009C2352">
                        <w:pPr>
                          <w:pStyle w:val="Titolo1"/>
                          <w:rPr>
                            <w:rFonts w:eastAsia="Times New Roman"/>
                            <w:i/>
                            <w:iCs/>
                          </w:rPr>
                        </w:pPr>
                        <w:r w:rsidRPr="009C2352">
                          <w:rPr>
                            <w:rFonts w:eastAsia="Times New Roman"/>
                            <w:i/>
                            <w:iCs/>
                          </w:rPr>
                          <w:t>Newsletter</w:t>
                        </w:r>
                      </w:p>
                      <w:p w:rsidR="009C2352" w:rsidRPr="009C2352" w:rsidRDefault="009C2352">
                        <w:pPr>
                          <w:pStyle w:val="Titolo5"/>
                          <w:rPr>
                            <w:rFonts w:eastAsia="Times New Roman"/>
                            <w:i/>
                            <w:iCs/>
                          </w:rPr>
                        </w:pPr>
                        <w:hyperlink r:id="rId7" w:history="1">
                          <w:r w:rsidRPr="009C2352">
                            <w:rPr>
                              <w:rStyle w:val="Collegamentoipertestuale"/>
                              <w:rFonts w:eastAsia="Times New Roman"/>
                              <w:i/>
                              <w:iCs/>
                            </w:rPr>
                            <w:t>Laboratorio cantonale</w:t>
                          </w:r>
                        </w:hyperlink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C2352" w:rsidRPr="009C2352" w:rsidRDefault="009C2352">
                        <w:pPr>
                          <w:spacing w:line="1650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FFFFFF"/>
                            <w:sz w:val="42"/>
                            <w:szCs w:val="42"/>
                          </w:rPr>
                        </w:pPr>
                        <w:r w:rsidRPr="009C2352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FFFFFF"/>
                            <w:sz w:val="42"/>
                            <w:szCs w:val="42"/>
                          </w:rPr>
                          <w:t>       126</w:t>
                        </w:r>
                      </w:p>
                    </w:tc>
                  </w:tr>
                </w:tbl>
                <w:p w:rsidR="009C2352" w:rsidRPr="009C2352" w:rsidRDefault="009C2352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C2352" w:rsidRPr="009C2352">
              <w:trPr>
                <w:trHeight w:val="75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2352" w:rsidRPr="009C2352" w:rsidRDefault="009C2352">
                  <w:pPr>
                    <w:rPr>
                      <w:rFonts w:eastAsia="Times New Roman"/>
                      <w:i/>
                      <w:iCs/>
                    </w:rPr>
                  </w:pPr>
                  <w:r w:rsidRPr="009C2352">
                    <w:rPr>
                      <w:rFonts w:eastAsia="Times New Roman"/>
                      <w:i/>
                      <w:iCs/>
                    </w:rPr>
                    <w:t> </w:t>
                  </w:r>
                </w:p>
              </w:tc>
            </w:tr>
          </w:tbl>
          <w:p w:rsidR="009C2352" w:rsidRPr="009C2352" w:rsidRDefault="009C2352">
            <w:pPr>
              <w:rPr>
                <w:rFonts w:eastAsia="Times New Roman"/>
                <w:i/>
                <w:iCs/>
                <w:vanish/>
              </w:rPr>
            </w:pPr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9C2352" w:rsidRPr="009C235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C2352" w:rsidRPr="009C2352">
                    <w:trPr>
                      <w:tblCellSpacing w:w="0" w:type="dxa"/>
                    </w:trPr>
                    <w:tc>
                      <w:tcPr>
                        <w:tcW w:w="1650" w:type="pct"/>
                        <w:vAlign w:val="center"/>
                        <w:hideMark/>
                      </w:tcPr>
                      <w:p w:rsidR="009C2352" w:rsidRPr="009C2352" w:rsidRDefault="009C2352">
                        <w:pPr>
                          <w:pStyle w:val="Titolo3"/>
                          <w:rPr>
                            <w:rFonts w:eastAsia="Times New Roman"/>
                            <w:i/>
                            <w:iCs/>
                          </w:rPr>
                        </w:pPr>
                        <w:r w:rsidRPr="009C2352">
                          <w:rPr>
                            <w:rFonts w:eastAsia="Times New Roman"/>
                            <w:i/>
                            <w:iCs/>
                            <w:shd w:val="clear" w:color="auto" w:fill="D84C9B"/>
                          </w:rPr>
                          <w:t xml:space="preserve"> News 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C2352" w:rsidRPr="009C235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2352" w:rsidRPr="009C2352" w:rsidRDefault="009C2352">
                              <w:pPr>
                                <w:pStyle w:val="Titolo2"/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01.</w:t>
                              </w:r>
                            </w:p>
                            <w:p w:rsidR="009C2352" w:rsidRPr="009C2352" w:rsidRDefault="009C2352">
                              <w:pPr>
                                <w:pStyle w:val="Titolo4"/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Aggiornamento di alcuni documenti necessari e indispensabili nell'ambito delle nostre prestazioni analitiche per terzi</w:t>
                              </w:r>
                            </w:p>
                            <w:p w:rsidR="009C2352" w:rsidRPr="009C2352" w:rsidRDefault="009C2352">
                              <w:pPr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Style w:val="Enfasigrassetto"/>
                                  <w:rFonts w:eastAsia="Times New Roman"/>
                                  <w:i/>
                                  <w:iCs/>
                                </w:rPr>
                                <w:t>La norma di qualità ISO17025 "Requisiti generali per la competenza dei laboratori di prova e taratura" prevede requisiti molto rigidi nell'ambito delle relazioni fra i laboratori di analisi e i loro clienti. In caso di fornitura di prestazioni analitiche per terzi da parte del Laboratorio cantonale si applicano p.es. condizioni generali su cui il cliente deve essere reso attento e dichiarare la sua accettazione. </w:t>
                              </w:r>
                              <w:r w:rsidRPr="009C2352"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</w:rPr>
                                <w:br/>
                              </w:r>
                              <w:r w:rsidRPr="009C2352"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</w:rPr>
                                <w:br/>
                              </w: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Alla nostra specifica pagina di sportello dedicata alle </w:t>
                              </w:r>
                              <w:hyperlink r:id="rId8" w:tgtFrame="_blank" w:history="1">
                                <w:r w:rsidRPr="009C2352">
                                  <w:rPr>
                                    <w:rStyle w:val="Collegamentoipertestuale"/>
                                    <w:rFonts w:eastAsia="Times New Roman"/>
                                    <w:i/>
                                    <w:iCs/>
                                  </w:rPr>
                                  <w:t>prestazioni analitiche per terzi</w:t>
                                </w:r>
                              </w:hyperlink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sono state pubblicate le versioni nuove dei seguenti documenti:</w:t>
                              </w:r>
                            </w:p>
                            <w:p w:rsidR="009C2352" w:rsidRPr="009C2352" w:rsidRDefault="009C2352" w:rsidP="00F93C5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Condizioni generali di analisi</w:t>
                              </w:r>
                            </w:p>
                            <w:p w:rsidR="009C2352" w:rsidRPr="009C2352" w:rsidRDefault="009C2352" w:rsidP="00F93C5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Scheda di registrazione dei nuovi clienti</w:t>
                              </w:r>
                            </w:p>
                            <w:p w:rsidR="009C2352" w:rsidRPr="009C2352" w:rsidRDefault="009C2352" w:rsidP="00F93C5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Regole decisionali applicate per valutare la conformità dei campioni in autocontrollo</w:t>
                              </w:r>
                            </w:p>
                            <w:p w:rsidR="009C2352" w:rsidRPr="009C2352" w:rsidRDefault="009C2352" w:rsidP="00F93C5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Formulario per la richiesta di analisi per la potabilità</w:t>
                              </w:r>
                            </w:p>
                            <w:p w:rsidR="009C2352" w:rsidRPr="009C2352" w:rsidRDefault="009C2352">
                              <w:pPr>
                                <w:pStyle w:val="Titolo2"/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02.</w:t>
                              </w:r>
                            </w:p>
                            <w:p w:rsidR="009C2352" w:rsidRPr="009C2352" w:rsidRDefault="009C2352">
                              <w:pPr>
                                <w:pStyle w:val="Titolo4"/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Ocratossina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A (OTA) nella birra artigianale ticinese </w:t>
                              </w:r>
                            </w:p>
                            <w:p w:rsidR="009C2352" w:rsidRPr="009C2352" w:rsidRDefault="009C2352">
                              <w:pPr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Le micotossine sono sostanze tossiche prodotte da alcuni ceppi fungini che si formano durante la crescita delle colture e possono svilupparsi anche in seguito durante il deposito. Le principali fonti di esposizione sono i cereali e i prodotti a base di cereali, le leguminose, il caffè, la birra, il succo d’uva, l’uva passita e altra frutta secca, il vino, i prodotti a base di cacao, le noci e le spezie. In questa campagna sono state in tutto 22 le birre artigianali ticinesi prelevate presso i produttori e dal commercio al dettaglio. Le birre artigianali ticinesi esaminate sono esenti oppure presentano solo tracce minime (max. 0.06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μg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/kg) di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Ocratossina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A. </w:t>
                              </w: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br/>
                              </w: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br/>
                              </w:r>
                              <w:hyperlink r:id="rId9" w:tgtFrame="_blank" w:history="1">
                                <w:r w:rsidRPr="009C2352">
                                  <w:rPr>
                                    <w:rStyle w:val="Collegamentoipertestuale"/>
                                    <w:rFonts w:eastAsia="Times New Roman"/>
                                    <w:i/>
                                    <w:iCs/>
                                  </w:rPr>
                                  <w:t>Per saperne di più ...</w:t>
                                </w:r>
                              </w:hyperlink>
                            </w:p>
                            <w:p w:rsidR="009C2352" w:rsidRPr="009C2352" w:rsidRDefault="009C2352">
                              <w:pPr>
                                <w:pStyle w:val="Titolo2"/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lastRenderedPageBreak/>
                                <w:t>03.</w:t>
                              </w:r>
                            </w:p>
                            <w:p w:rsidR="009C2352" w:rsidRPr="009C2352" w:rsidRDefault="009C2352">
                              <w:pPr>
                                <w:pStyle w:val="Titolo4"/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Deossinivalenolo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(DON) dei crackers di importazione</w:t>
                              </w:r>
                            </w:p>
                            <w:p w:rsidR="009C2352" w:rsidRPr="009C2352" w:rsidRDefault="009C2352">
                              <w:pPr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I cambiamenti climatici stanno già avendo e soprattutto avranno un forte impatto sulla produzione di cibo su scala globale. Il clima sempre più caldo e umido degli ultimi anni osservato anche alle nostre latitudini, infatti, è la condizione ideale per la crescita delle muffe sulle colture vegetali, che espongono gli alimenti derivati a una maggiore contaminazione da micotossine. L’Autorità europea per la sicurezza alimentare (ESFA) sta procedendo a una valutazione del rischio legato all'impatto delle variabili ambientali sulla produzione e presenza di micotossine negli alimenti. Gli alimenti più esposti sono i semi oleosi, i cereali e i loro prodotti derivati, le spezie, alcuni tipi di frutta secca e a guscio. La contaminazione da micotossine può avvenire in campo o durante lo stoccaggio, oppure tramite gli animali da reddito che ingeriscono alimenti ammuffiti e trasmettono le tossine ai prodotti, quali latte, uova e carne. Controllare i mangimi e gli alimenti più a rischio è quindi di fondamentale importanza per la tutela della salute.</w:t>
                              </w: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br/>
                              </w: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br/>
                                <w:t xml:space="preserve">Il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Deossinivalenolo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(DON) o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vomitossina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, è una micotossina che appartiene al gruppo dei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tricoteceni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, prodotta dai funghi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Fusarium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graminearum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e F.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culmorum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principalmente in cereali, quali frumento, orzo e mais. Con questa campagna si è voluto monitorare i livelli di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Deossinivalenolo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(DON) nei cracker d’importazione e verificare il rispetto dei requisiti di legge. Il cracker è un articolo di panetteria a base di frumento e mais. In totale sono stati prelevati dalla grande distribuzione 11 campioni di cracker salati, speziati e arricchiti con sapori al pomodoro, olive o formaggio, provenienti da Italia (7), Regno Unito (2), Belgio e Polonia (1). I prodotti esaminati sono risultati conformi ai requisiti di legge. Tracce quantificabili (&gt; 50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μg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/kg) di DON sono comunque state rilevate in tutti i campioni.</w:t>
                              </w: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br/>
                              </w: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br/>
                              </w:r>
                              <w:hyperlink r:id="rId10" w:tgtFrame="_blank" w:history="1">
                                <w:r w:rsidRPr="009C2352">
                                  <w:rPr>
                                    <w:rStyle w:val="Collegamentoipertestuale"/>
                                    <w:rFonts w:eastAsia="Times New Roman"/>
                                    <w:i/>
                                    <w:iCs/>
                                  </w:rPr>
                                  <w:t>Per saperne di più ...</w:t>
                                </w:r>
                              </w:hyperlink>
                            </w:p>
                            <w:p w:rsidR="009C2352" w:rsidRPr="009C2352" w:rsidRDefault="009C2352">
                              <w:pPr>
                                <w:pStyle w:val="Titolo2"/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04.</w:t>
                              </w:r>
                            </w:p>
                            <w:p w:rsidR="009C2352" w:rsidRPr="009C2352" w:rsidRDefault="009C2352">
                              <w:pPr>
                                <w:pStyle w:val="Titolo4"/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Radionuclidi nella terra, nell'erba e nel latte </w:t>
                              </w:r>
                            </w:p>
                            <w:p w:rsidR="009C2352" w:rsidRPr="009C2352" w:rsidRDefault="009C2352">
                              <w:pPr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L'Ufficio federale della sanità pubblica (UFSP) propone annualmente un piano di misurazioni su scala nazionale volto a monitorare nel tempo le concentrazioni di Cs-137 e Sr-90 in diverse matrici. Il Laboratorio cantonale contribuisce a questo piano e analizza campioni di terra, erba e latte prelevati normalmente a fine maggio – inizio giugno e provenienti da tre aziende agricole operanti sul territorio ticinese. Gli esperimenti nucleari degli anni </w:t>
                              </w:r>
                              <w:proofErr w:type="gram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sessanta</w:t>
                              </w:r>
                              <w:proofErr w:type="gram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e l'incidente di Chernobyl del 1986 sono stati la principale causa delle immissioni su scala mondiale di radionuclidi artificiali nell'ambiente. Gli isotopi più persistenti, in particolare il cesio-137 (Cs-137, t1/2: circa 30 anni) e lo stronzio-90 (Sr-90, t1/2: circa 29 anni), sono ancora misurabili in tracce e possono contaminare l’ambiente e le derrate alimentari. Viste le ricadute radioattive maggiori sul Ticino per rapporto al resto del nostro paese, alcuni campioni locali presentano residui leggermente superiori alla media svizzera. Fortunatamente i livelli osservati non destano preoccupazioni di ordine sanitario.</w:t>
                              </w: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br/>
                              </w: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br/>
                              </w:r>
                              <w:hyperlink r:id="rId11" w:tgtFrame="_blank" w:history="1">
                                <w:r w:rsidRPr="009C2352">
                                  <w:rPr>
                                    <w:rStyle w:val="Collegamentoipertestuale"/>
                                    <w:rFonts w:eastAsia="Times New Roman"/>
                                    <w:i/>
                                    <w:iCs/>
                                  </w:rPr>
                                  <w:t>Per saperne di più ...</w:t>
                                </w:r>
                              </w:hyperlink>
                            </w:p>
                            <w:p w:rsidR="009C2352" w:rsidRPr="009C2352" w:rsidRDefault="009C2352">
                              <w:pPr>
                                <w:pStyle w:val="Titolo2"/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05.</w:t>
                              </w:r>
                            </w:p>
                            <w:p w:rsidR="009C2352" w:rsidRPr="009C2352" w:rsidRDefault="009C2352">
                              <w:pPr>
                                <w:pStyle w:val="Titolo4"/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Radionuclidi artificiali (Cs-137) e naturali (K-40) nei funghi selvatici ticinesi</w:t>
                              </w:r>
                            </w:p>
                            <w:p w:rsidR="009C2352" w:rsidRPr="009C2352" w:rsidRDefault="009C2352">
                              <w:pPr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Anche nel 2019 è stato eseguito un ampio monitoraggio sulla radioattività residua ancora presente nei funghi selvatici commestibili nostrani che come noto, sono esposti al rischio d’accumulo di cesio-137 (cs-</w:t>
                              </w: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lastRenderedPageBreak/>
                                <w:t xml:space="preserve">137): 56 i campioni di funghi selvatici appartenenti a sei specie commestibili, raccolti sul territorio ticinese da membri ticinesi dell’Associazione svizzera dei controllori di funghi VAPKO (a cui vanno i nostri sentiti ringraziamenti). Le analisi si sono focalizzate sulla presenza di contaminanti radioattivi di origine artificiale e naturale. Di seguito la lista delle specie fungine prelevate con il numero di esemplari per specie fra parentesi: Boleto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erythropus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(17),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Xerocomus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badius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(16), Boleto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edulis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(16),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Leccinum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scabrum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(4),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Cortinarius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praestans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(1),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Leccinum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versipelle (1) e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Rozites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caperata</w:t>
                              </w:r>
                              <w:proofErr w:type="spellEnd"/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(1). Il Cs-137 è ancora presente in tutti i funghi esaminati ma non sono stati rilevati superamenti del limite per questo radionuclide artificiale.</w:t>
                              </w: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br/>
                              </w:r>
                              <w:r w:rsidRPr="009C2352">
                                <w:rPr>
                                  <w:rFonts w:eastAsia="Times New Roman"/>
                                  <w:i/>
                                  <w:iCs/>
                                </w:rPr>
                                <w:br/>
                              </w:r>
                              <w:hyperlink r:id="rId12" w:tgtFrame="_blank" w:history="1">
                                <w:r w:rsidRPr="009C2352">
                                  <w:rPr>
                                    <w:rStyle w:val="Collegamentoipertestuale"/>
                                    <w:rFonts w:eastAsia="Times New Roman"/>
                                    <w:i/>
                                    <w:iCs/>
                                  </w:rPr>
                                  <w:t>Per saperne di più ...</w:t>
                                </w:r>
                              </w:hyperlink>
                            </w:p>
                          </w:tc>
                        </w:tr>
                      </w:tbl>
                      <w:p w:rsidR="009C2352" w:rsidRPr="009C2352" w:rsidRDefault="009C2352">
                        <w:p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2352" w:rsidRPr="009C2352" w:rsidRDefault="009C2352">
                  <w:pPr>
                    <w:rPr>
                      <w:rFonts w:eastAsia="Times New Roman"/>
                      <w:i/>
                      <w:iCs/>
                      <w:vanish/>
                    </w:rPr>
                  </w:pPr>
                </w:p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C2352" w:rsidRPr="009C235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C2352" w:rsidRPr="009C2352" w:rsidRDefault="009C2352">
                        <w:pPr>
                          <w:pStyle w:val="NormaleWeb"/>
                          <w:rPr>
                            <w:i/>
                            <w:iCs/>
                          </w:rPr>
                        </w:pPr>
                        <w:r w:rsidRPr="009C2352">
                          <w:rPr>
                            <w:i/>
                            <w:iCs/>
                          </w:rPr>
                          <w:t> </w:t>
                        </w:r>
                      </w:p>
                      <w:p w:rsidR="009C2352" w:rsidRPr="009C2352" w:rsidRDefault="009C2352">
                        <w:pPr>
                          <w:pStyle w:val="text"/>
                          <w:rPr>
                            <w:i/>
                            <w:iCs/>
                          </w:rPr>
                        </w:pPr>
                        <w:r w:rsidRPr="009C2352">
                          <w:rPr>
                            <w:i/>
                            <w:iCs/>
                          </w:rPr>
                          <w:t xml:space="preserve">Vi ringraziamo per l'interesse mostrato nei confronti della nostra attività, vi invitiamo ad informare i vostri conoscenti e amici sulla possibilità di </w:t>
                        </w:r>
                        <w:hyperlink r:id="rId13" w:history="1">
                          <w:r w:rsidRPr="009C2352">
                            <w:rPr>
                              <w:rStyle w:val="Collegamentoipertestuale"/>
                              <w:i/>
                              <w:iCs/>
                            </w:rPr>
                            <w:t xml:space="preserve">iscriversi alla nostra mailing-list </w:t>
                          </w:r>
                        </w:hyperlink>
                        <w:r w:rsidRPr="009C2352">
                          <w:rPr>
                            <w:i/>
                            <w:iCs/>
                          </w:rPr>
                          <w:t>e ricevere così importanti informazioni utili sia professionalmente che come cittadino-consumatore</w:t>
                        </w:r>
                      </w:p>
                      <w:p w:rsidR="009C2352" w:rsidRPr="009C2352" w:rsidRDefault="009C2352">
                        <w:pPr>
                          <w:pStyle w:val="text"/>
                          <w:rPr>
                            <w:i/>
                            <w:iCs/>
                          </w:rPr>
                        </w:pPr>
                        <w:r w:rsidRPr="009C2352">
                          <w:rPr>
                            <w:i/>
                            <w:iCs/>
                          </w:rPr>
                          <w:t xml:space="preserve">Ricevi questa Newsletter perché ti sei abbonato. </w:t>
                        </w:r>
                        <w:r w:rsidRPr="009C2352">
                          <w:rPr>
                            <w:i/>
                            <w:iCs/>
                          </w:rPr>
                          <w:br/>
                          <w:t xml:space="preserve">Non sei più interessato? </w:t>
                        </w:r>
                        <w:hyperlink w:history="1">
                          <w:proofErr w:type="spellStart"/>
                          <w:r w:rsidRPr="009C2352">
                            <w:rPr>
                              <w:rStyle w:val="Collegamentoipertestuale"/>
                              <w:i/>
                              <w:iCs/>
                            </w:rPr>
                            <w:t>Disiscriviti</w:t>
                          </w:r>
                          <w:proofErr w:type="spellEnd"/>
                        </w:hyperlink>
                        <w:r w:rsidRPr="009C2352">
                          <w:rPr>
                            <w:i/>
                            <w:iCs/>
                          </w:rPr>
                          <w:t>.</w:t>
                        </w:r>
                      </w:p>
                      <w:p w:rsidR="009C2352" w:rsidRPr="009C2352" w:rsidRDefault="009C2352">
                        <w:pPr>
                          <w:pStyle w:val="NormaleWeb"/>
                          <w:rPr>
                            <w:i/>
                            <w:iCs/>
                          </w:rPr>
                        </w:pPr>
                        <w:r w:rsidRPr="009C2352">
                          <w:rPr>
                            <w:i/>
                            <w:iCs/>
                          </w:rPr>
                          <w:t> </w:t>
                        </w:r>
                      </w:p>
                    </w:tc>
                  </w:tr>
                </w:tbl>
                <w:p w:rsidR="009C2352" w:rsidRPr="009C2352" w:rsidRDefault="009C2352">
                  <w:pPr>
                    <w:rPr>
                      <w:rFonts w:eastAsia="Times New Roman"/>
                      <w:i/>
                      <w:iCs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C2352" w:rsidRPr="009C235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4F4F4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35"/>
                          <w:gridCol w:w="4815"/>
                        </w:tblGrid>
                        <w:tr w:rsidR="009C2352" w:rsidRPr="009C2352">
                          <w:trPr>
                            <w:tblCellSpacing w:w="0" w:type="dxa"/>
                          </w:trPr>
                          <w:tc>
                            <w:tcPr>
                              <w:tcW w:w="4935" w:type="dxa"/>
                              <w:vAlign w:val="center"/>
                              <w:hideMark/>
                            </w:tcPr>
                            <w:p w:rsidR="009C2352" w:rsidRPr="009C2352" w:rsidRDefault="009C2352">
                              <w:pPr>
                                <w:pStyle w:val="Titolo3"/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7"/>
                                  <w:szCs w:val="27"/>
                                </w:rPr>
                              </w:pPr>
                              <w:proofErr w:type="spellStart"/>
                              <w:r w:rsidRPr="009C235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CCCCCC"/>
                                  <w:sz w:val="27"/>
                                  <w:szCs w:val="27"/>
                                </w:rPr>
                                <w:t>Impressum</w:t>
                              </w:r>
                              <w:proofErr w:type="spellEnd"/>
                            </w:p>
                            <w:p w:rsidR="009C2352" w:rsidRPr="009C2352" w:rsidRDefault="009C2352">
                              <w:pPr>
                                <w:pStyle w:val="text"/>
                                <w:rPr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i/>
                                  <w:iCs/>
                                </w:rPr>
                                <w:t> </w:t>
                              </w:r>
                              <w:r w:rsidRPr="009C2352">
                                <w:rPr>
                                  <w:i/>
                                  <w:iCs/>
                                </w:rPr>
                                <w:br/>
                                <w:t>Dipartimento della sanità e della socialità</w:t>
                              </w:r>
                              <w:r w:rsidRPr="009C2352">
                                <w:rPr>
                                  <w:i/>
                                  <w:iCs/>
                                </w:rPr>
                                <w:br/>
                                <w:t>Divisione della salute pubblica</w:t>
                              </w:r>
                              <w:r w:rsidRPr="009C2352">
                                <w:rPr>
                                  <w:i/>
                                  <w:iCs/>
                                </w:rPr>
                                <w:br/>
                              </w:r>
                              <w:r w:rsidRPr="009C2352">
                                <w:rPr>
                                  <w:i/>
                                  <w:iCs/>
                                </w:rPr>
                                <w:br/>
                              </w:r>
                              <w:r w:rsidRPr="009C2352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Laboratorio cantonale</w:t>
                              </w:r>
                              <w:r w:rsidRPr="009C2352">
                                <w:rPr>
                                  <w:i/>
                                  <w:iCs/>
                                </w:rPr>
                                <w:br/>
                                <w:t>Via Mirasole 22</w:t>
                              </w:r>
                              <w:r w:rsidRPr="009C2352">
                                <w:rPr>
                                  <w:i/>
                                  <w:iCs/>
                                </w:rPr>
                                <w:br/>
                                <w:t>6500 Bellinzona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2352" w:rsidRPr="009C2352" w:rsidRDefault="009C2352">
                              <w:pPr>
                                <w:pStyle w:val="NormaleWeb"/>
                                <w:rPr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i/>
                                  <w:iCs/>
                                </w:rPr>
                                <w:t> </w:t>
                              </w:r>
                            </w:p>
                            <w:p w:rsidR="009C2352" w:rsidRPr="009C2352" w:rsidRDefault="009C2352">
                              <w:pPr>
                                <w:pStyle w:val="NormaleWeb"/>
                                <w:rPr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i/>
                                  <w:iCs/>
                                </w:rPr>
                                <w:t> </w:t>
                              </w:r>
                            </w:p>
                            <w:p w:rsidR="009C2352" w:rsidRPr="009C2352" w:rsidRDefault="009C2352">
                              <w:pPr>
                                <w:pStyle w:val="NormaleWeb"/>
                                <w:rPr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i/>
                                  <w:iCs/>
                                </w:rPr>
                                <w:t> </w:t>
                              </w:r>
                            </w:p>
                            <w:p w:rsidR="009C2352" w:rsidRPr="009C2352" w:rsidRDefault="009C2352">
                              <w:pPr>
                                <w:pStyle w:val="text"/>
                                <w:rPr>
                                  <w:i/>
                                  <w:iCs/>
                                </w:rPr>
                              </w:pPr>
                              <w:r w:rsidRPr="009C2352">
                                <w:rPr>
                                  <w:i/>
                                  <w:iCs/>
                                </w:rPr>
                                <w:t>tel. +41 91 814 61 11</w:t>
                              </w:r>
                              <w:r w:rsidRPr="009C2352">
                                <w:rPr>
                                  <w:i/>
                                  <w:iCs/>
                                </w:rPr>
                                <w:br/>
                                <w:t>fax +41 91 814 61 19</w:t>
                              </w:r>
                              <w:r w:rsidRPr="009C2352">
                                <w:rPr>
                                  <w:i/>
                                  <w:iCs/>
                                </w:rPr>
                                <w:br/>
                              </w:r>
                              <w:hyperlink r:id="rId14" w:history="1">
                                <w:r w:rsidRPr="009C2352">
                                  <w:rPr>
                                    <w:rStyle w:val="Collegamentoipertestuale"/>
                                    <w:i/>
                                    <w:iCs/>
                                  </w:rPr>
                                  <w:t>dss-lc@ti.ch</w:t>
                                </w:r>
                              </w:hyperlink>
                              <w:r w:rsidRPr="009C2352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Pr="009C2352">
                                <w:rPr>
                                  <w:i/>
                                  <w:iCs/>
                                </w:rPr>
                                <w:br/>
                              </w:r>
                              <w:r w:rsidRPr="009C2352">
                                <w:rPr>
                                  <w:i/>
                                  <w:iCs/>
                                </w:rPr>
                                <w:br/>
                              </w:r>
                              <w:hyperlink r:id="rId15" w:history="1">
                                <w:r w:rsidRPr="009C2352">
                                  <w:rPr>
                                    <w:rStyle w:val="Collegamentoipertestuale"/>
                                    <w:i/>
                                    <w:iCs/>
                                  </w:rPr>
                                  <w:t>www.ti.ch/laboratorio</w:t>
                                </w:r>
                              </w:hyperlink>
                            </w:p>
                          </w:tc>
                        </w:tr>
                      </w:tbl>
                      <w:p w:rsidR="009C2352" w:rsidRPr="009C2352" w:rsidRDefault="009C2352">
                        <w:p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2352" w:rsidRPr="009C2352" w:rsidRDefault="009C2352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9C2352" w:rsidRPr="009C2352" w:rsidRDefault="009C2352">
            <w:pPr>
              <w:rPr>
                <w:rFonts w:eastAsia="Times New Roman"/>
                <w:i/>
                <w:iCs/>
              </w:rPr>
            </w:pPr>
            <w:r w:rsidRPr="009C2352">
              <w:rPr>
                <w:rFonts w:eastAsia="Times New Roman"/>
                <w:i/>
                <w:iCs/>
                <w:noProof/>
              </w:rPr>
              <w:lastRenderedPageBreak/>
              <w:drawing>
                <wp:inline distT="0" distB="0" distL="0" distR="0">
                  <wp:extent cx="1751965" cy="473710"/>
                  <wp:effectExtent l="0" t="0" r="635" b="25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352" w:rsidRPr="009C2352" w:rsidRDefault="009C2352">
            <w:pPr>
              <w:pStyle w:val="NormaleWeb"/>
              <w:rPr>
                <w:i/>
                <w:iCs/>
              </w:rPr>
            </w:pPr>
            <w:r w:rsidRPr="009C2352">
              <w:rPr>
                <w:i/>
                <w:iCs/>
              </w:rPr>
              <w:t> </w:t>
            </w:r>
          </w:p>
        </w:tc>
      </w:tr>
    </w:tbl>
    <w:p w:rsidR="0037324E" w:rsidRDefault="0037324E"/>
    <w:sectPr w:rsidR="0037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32C4"/>
    <w:multiLevelType w:val="multilevel"/>
    <w:tmpl w:val="843E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52"/>
    <w:rsid w:val="0037324E"/>
    <w:rsid w:val="009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33B525-47BA-4CB2-B799-93E6B16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352"/>
    <w:pPr>
      <w:spacing w:after="0" w:line="240" w:lineRule="auto"/>
    </w:pPr>
    <w:rPr>
      <w:rFonts w:ascii="Calibri" w:hAnsi="Calibri" w:cs="Calibri"/>
      <w:lang w:eastAsia="it-CH"/>
    </w:rPr>
  </w:style>
  <w:style w:type="paragraph" w:styleId="Titolo1">
    <w:name w:val="heading 1"/>
    <w:basedOn w:val="Normale"/>
    <w:link w:val="Titolo1Carattere"/>
    <w:uiPriority w:val="9"/>
    <w:qFormat/>
    <w:rsid w:val="009C2352"/>
    <w:pPr>
      <w:outlineLvl w:val="0"/>
    </w:pPr>
    <w:rPr>
      <w:rFonts w:ascii="Arial" w:hAnsi="Arial" w:cs="Arial"/>
      <w:color w:val="333333"/>
      <w:kern w:val="36"/>
      <w:sz w:val="90"/>
      <w:szCs w:val="90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9C2352"/>
    <w:pPr>
      <w:spacing w:before="360" w:after="15"/>
      <w:outlineLvl w:val="1"/>
    </w:pPr>
    <w:rPr>
      <w:rFonts w:ascii="Arial" w:hAnsi="Arial" w:cs="Arial"/>
      <w:b/>
      <w:bCs/>
      <w:color w:val="D84C9B"/>
      <w:sz w:val="48"/>
      <w:szCs w:val="4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C2352"/>
    <w:pPr>
      <w:outlineLvl w:val="2"/>
    </w:pPr>
    <w:rPr>
      <w:rFonts w:ascii="Arial" w:hAnsi="Arial" w:cs="Arial"/>
      <w:b/>
      <w:bCs/>
      <w:color w:val="FFFFFF"/>
      <w:sz w:val="36"/>
      <w:szCs w:val="36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9C2352"/>
    <w:pPr>
      <w:spacing w:after="180"/>
      <w:outlineLvl w:val="3"/>
    </w:pPr>
    <w:rPr>
      <w:rFonts w:ascii="Arial" w:hAnsi="Arial" w:cs="Arial"/>
      <w:b/>
      <w:bCs/>
      <w:color w:val="333333"/>
      <w:sz w:val="27"/>
      <w:szCs w:val="27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9C2352"/>
    <w:pPr>
      <w:outlineLvl w:val="4"/>
    </w:pPr>
    <w:rPr>
      <w:rFonts w:ascii="Arial" w:hAnsi="Arial" w:cs="Arial"/>
      <w:b/>
      <w:bCs/>
      <w:color w:val="333333"/>
      <w:sz w:val="45"/>
      <w:szCs w:val="4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2352"/>
    <w:rPr>
      <w:rFonts w:ascii="Arial" w:hAnsi="Arial" w:cs="Arial"/>
      <w:color w:val="333333"/>
      <w:kern w:val="36"/>
      <w:sz w:val="90"/>
      <w:szCs w:val="90"/>
      <w:lang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2352"/>
    <w:rPr>
      <w:rFonts w:ascii="Arial" w:hAnsi="Arial" w:cs="Arial"/>
      <w:b/>
      <w:bCs/>
      <w:color w:val="D84C9B"/>
      <w:sz w:val="48"/>
      <w:szCs w:val="48"/>
      <w:lang w:eastAsia="it-CH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2352"/>
    <w:rPr>
      <w:rFonts w:ascii="Arial" w:hAnsi="Arial" w:cs="Arial"/>
      <w:b/>
      <w:bCs/>
      <w:color w:val="FFFFFF"/>
      <w:sz w:val="36"/>
      <w:szCs w:val="36"/>
      <w:lang w:eastAsia="it-CH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C2352"/>
    <w:rPr>
      <w:rFonts w:ascii="Arial" w:hAnsi="Arial" w:cs="Arial"/>
      <w:b/>
      <w:bCs/>
      <w:color w:val="333333"/>
      <w:sz w:val="27"/>
      <w:szCs w:val="27"/>
      <w:lang w:eastAsia="it-CH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C2352"/>
    <w:rPr>
      <w:rFonts w:ascii="Arial" w:hAnsi="Arial" w:cs="Arial"/>
      <w:b/>
      <w:bCs/>
      <w:color w:val="333333"/>
      <w:sz w:val="45"/>
      <w:szCs w:val="45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9C2352"/>
    <w:rPr>
      <w:strike w:val="0"/>
      <w:dstrike w:val="0"/>
      <w:color w:val="4B98D7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9C2352"/>
    <w:pPr>
      <w:spacing w:line="315" w:lineRule="atLeast"/>
    </w:pPr>
    <w:rPr>
      <w:rFonts w:ascii="Georgia" w:hAnsi="Georgia"/>
      <w:color w:val="333333"/>
      <w:sz w:val="24"/>
      <w:szCs w:val="24"/>
    </w:rPr>
  </w:style>
  <w:style w:type="paragraph" w:customStyle="1" w:styleId="text">
    <w:name w:val="text"/>
    <w:basedOn w:val="Normale"/>
    <w:uiPriority w:val="99"/>
    <w:semiHidden/>
    <w:rsid w:val="009C2352"/>
    <w:pPr>
      <w:spacing w:after="45" w:line="240" w:lineRule="atLeast"/>
    </w:pPr>
    <w:rPr>
      <w:rFonts w:ascii="Arial" w:hAnsi="Arial" w:cs="Arial"/>
      <w:color w:val="333333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C2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news.ti.ch/link.php?M=19838&amp;N=586&amp;L=927&amp;F=H" TargetMode="External"/><Relationship Id="rId13" Type="http://schemas.openxmlformats.org/officeDocument/2006/relationships/hyperlink" Target="http://dss.news.ti.ch/link.php?M=19838&amp;N=586&amp;L=10&amp;F=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s.news.ti.ch/link.php?M=19838&amp;N=586&amp;L=10&amp;F=H" TargetMode="External"/><Relationship Id="rId12" Type="http://schemas.openxmlformats.org/officeDocument/2006/relationships/hyperlink" Target="http://dss.news.ti.ch/link.php?M=19838&amp;N=586&amp;L=1181&amp;F=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ss.news.ti.ch/link.php?M=19838&amp;N=586&amp;L=1179&amp;F=H" TargetMode="External"/><Relationship Id="rId5" Type="http://schemas.openxmlformats.org/officeDocument/2006/relationships/hyperlink" Target="http://dss.news.ti.ch/link.php?M=19838&amp;N=586&amp;L=22&amp;F=H" TargetMode="External"/><Relationship Id="rId15" Type="http://schemas.openxmlformats.org/officeDocument/2006/relationships/hyperlink" Target="http://dss.news.ti.ch/link.php?M=19838&amp;N=586&amp;L=10&amp;F=H" TargetMode="External"/><Relationship Id="rId10" Type="http://schemas.openxmlformats.org/officeDocument/2006/relationships/hyperlink" Target="http://dss.news.ti.ch/link.php?M=19838&amp;N=586&amp;L=1180&amp;F=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s.news.ti.ch/link.php?M=19838&amp;N=586&amp;L=1178&amp;F=H" TargetMode="External"/><Relationship Id="rId14" Type="http://schemas.openxmlformats.org/officeDocument/2006/relationships/hyperlink" Target="mailto:dss-lc@ti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Bedigliora</dc:creator>
  <cp:keywords/>
  <dc:description/>
  <cp:lastModifiedBy>Municipio Bedigliora</cp:lastModifiedBy>
  <cp:revision>1</cp:revision>
  <dcterms:created xsi:type="dcterms:W3CDTF">2019-11-28T10:44:00Z</dcterms:created>
  <dcterms:modified xsi:type="dcterms:W3CDTF">2019-11-28T10:45:00Z</dcterms:modified>
</cp:coreProperties>
</file>