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0"/>
      </w:tblGrid>
      <w:tr w:rsidR="0030478B" w14:paraId="6E1EEA5F" w14:textId="77777777" w:rsidTr="003047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75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7"/>
            </w:tblGrid>
            <w:tr w:rsidR="0030478B" w14:paraId="783DE3D6" w14:textId="77777777">
              <w:trPr>
                <w:tblCellSpacing w:w="18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4DECF78" w14:textId="712EE934" w:rsidR="0030478B" w:rsidRDefault="0030478B">
                  <w:pPr>
                    <w:pStyle w:val="NormaleWeb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sz w:val="36"/>
                      <w:szCs w:val="36"/>
                    </w:rPr>
                    <w:drawing>
                      <wp:inline distT="0" distB="0" distL="0" distR="0" wp14:anchorId="3F31CEFE" wp14:editId="7E67DA4E">
                        <wp:extent cx="5867400" cy="25908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0" cy="25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CA2FB3" w14:textId="77777777" w:rsidR="0030478B" w:rsidRDefault="0030478B">
                  <w:pPr>
                    <w:pStyle w:val="NormaleWeb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Stimate e stimati Sindaci e Municipali,</w:t>
                  </w:r>
                  <w:r>
                    <w:rPr>
                      <w:color w:val="auto"/>
                    </w:rPr>
                    <w:br/>
                    <w:t>Gentili Segretarie e Segretari comunali,</w:t>
                  </w:r>
                </w:p>
                <w:p w14:paraId="4194984E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</w:p>
                <w:p w14:paraId="7CA3BD9A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considerazione delle nuove misure federali che entreranno in vigore lunedì 18 gennaio, </w:t>
                  </w:r>
                  <w:r>
                    <w:rPr>
                      <w:b/>
                      <w:bCs/>
                      <w:color w:val="auto"/>
                    </w:rPr>
                    <w:t>il Consiglio di Stato ha aggiornato le disposizioni cantonali</w:t>
                  </w:r>
                  <w:r>
                    <w:rPr>
                      <w:color w:val="auto"/>
                    </w:rPr>
                    <w:t xml:space="preserve">. Vi invitiamo pertanto a prendere conoscenza della </w:t>
                  </w:r>
                  <w:hyperlink r:id="rId5" w:history="1">
                    <w:r>
                      <w:rPr>
                        <w:rStyle w:val="Collegamentoipertestuale"/>
                        <w:b/>
                        <w:bCs/>
                      </w:rPr>
                      <w:t>nuova RG 190</w:t>
                    </w:r>
                  </w:hyperlink>
                  <w:r>
                    <w:rPr>
                      <w:b/>
                      <w:bCs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(e del relativo </w:t>
                  </w:r>
                  <w:hyperlink r:id="rId6" w:history="1">
                    <w:r>
                      <w:rPr>
                        <w:rStyle w:val="Collegamentoipertestuale"/>
                      </w:rPr>
                      <w:t>flyer informativo</w:t>
                    </w:r>
                  </w:hyperlink>
                  <w:r>
                    <w:rPr>
                      <w:color w:val="auto"/>
                    </w:rPr>
                    <w:t>),</w:t>
                  </w:r>
                  <w:r>
                    <w:rPr>
                      <w:b/>
                      <w:bCs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che entra in vigore il 18 gennaio (annullando e sostituendo la RG 6941) e ha effetto fino al 28 febbraio di quest’anno.</w:t>
                  </w:r>
                </w:p>
                <w:p w14:paraId="30ADB1E9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</w:p>
                <w:p w14:paraId="128EFFF4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Sempre in relazione alle nuove disposizioni federali, in questi giorni siamo stati sollecitati da alcuni Comuni sul tema della tenuta delle assemblee degli organi legislativi ed esecutivi comunali e patriziali, le riunioni di commissioni e gruppi politici nell’ambito dell’attività degli organi legislativi, le assemblee inderogabili di enti di diritto pubblico. A questo proposito, fino a eventuali nuove comunicazioni, ricordiamo che resta sempre valido anche quanto definito nel “</w:t>
                  </w:r>
                  <w:hyperlink r:id="rId7" w:history="1">
                    <w:r>
                      <w:rPr>
                        <w:rStyle w:val="Collegamentoipertestuale"/>
                        <w:b/>
                        <w:bCs/>
                      </w:rPr>
                      <w:t>Decreto esecutivo concernente il funzionamento delle Autorità comunali, consortili e patriziali in tempo di emergenza epidemiologica da COVID-19</w:t>
                    </w:r>
                  </w:hyperlink>
                  <w:r>
                    <w:rPr>
                      <w:color w:val="auto"/>
                    </w:rPr>
                    <w:t>”, in vigore fino al 30.06.2021. La tenuta di tali riunioni è pertanto tuttora possibile (come indicato anche nella RG 190), sempre nel rispetto delle opportune norme d’igiene e distanziament</w:t>
                  </w:r>
                  <w:r>
                    <w:rPr>
                      <w:color w:val="1F497D"/>
                    </w:rPr>
                    <w:t>o</w:t>
                  </w:r>
                  <w:r>
                    <w:rPr>
                      <w:color w:val="auto"/>
                    </w:rPr>
                    <w:t xml:space="preserve"> sociale, nel quadr</w:t>
                  </w:r>
                  <w:r>
                    <w:rPr>
                      <w:color w:val="1F497D"/>
                    </w:rPr>
                    <w:t>o</w:t>
                  </w:r>
                  <w:r>
                    <w:rPr>
                      <w:color w:val="auto"/>
                    </w:rPr>
                    <w:t xml:space="preserve"> di un adeguato piano di protezione.</w:t>
                  </w:r>
                </w:p>
                <w:p w14:paraId="12FDF1FC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</w:p>
                <w:p w14:paraId="333908D2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Per quanto concerne le </w:t>
                  </w:r>
                  <w:r>
                    <w:rPr>
                      <w:b/>
                      <w:bCs/>
                      <w:color w:val="auto"/>
                    </w:rPr>
                    <w:t>riunioni di gruppi politici</w:t>
                  </w:r>
                  <w:r>
                    <w:rPr>
                      <w:color w:val="auto"/>
                    </w:rPr>
                    <w:t xml:space="preserve">, resta altresì valido quanto già specificato nella nota esplicativa attuale (relativa alla RG 6941 e che verrà aggiornata a breve sul </w:t>
                  </w:r>
                  <w:hyperlink r:id="rId8" w:history="1">
                    <w:r>
                      <w:rPr>
                        <w:rStyle w:val="Collegamentoipertestuale"/>
                      </w:rPr>
                      <w:t>sito cantonale</w:t>
                    </w:r>
                  </w:hyperlink>
                  <w:r>
                    <w:rPr>
                      <w:color w:val="auto"/>
                    </w:rPr>
                    <w:t xml:space="preserve">): </w:t>
                  </w:r>
                  <w:r>
                    <w:t>sono ammesse con una partecipazione fino a 50 persone anche riunioni e assemblee di gruppi politici, in particolare in vista dell’approvazione delle liste elettorali e delle prossime elezioni comunali.</w:t>
                  </w:r>
                </w:p>
                <w:p w14:paraId="2E142393" w14:textId="77777777" w:rsidR="0030478B" w:rsidRDefault="0030478B">
                  <w:pPr>
                    <w:pStyle w:val="NormaleWeb"/>
                    <w:ind w:left="0"/>
                    <w:jc w:val="both"/>
                    <w:rPr>
                      <w:color w:val="1F497D"/>
                    </w:rPr>
                  </w:pPr>
                </w:p>
                <w:p w14:paraId="55A59C96" w14:textId="77777777" w:rsidR="0030478B" w:rsidRDefault="0030478B">
                  <w:pPr>
                    <w:pStyle w:val="NormaleWeb"/>
                    <w:jc w:val="both"/>
                    <w:rPr>
                      <w:color w:val="1F497D"/>
                    </w:rPr>
                  </w:pPr>
                  <w:r>
                    <w:rPr>
                      <w:color w:val="auto"/>
                    </w:rPr>
                    <w:t xml:space="preserve">Vi segnaliamo inoltre che è stata aggiornata anche la </w:t>
                  </w:r>
                  <w:r>
                    <w:rPr>
                      <w:b/>
                      <w:bCs/>
                      <w:color w:val="auto"/>
                    </w:rPr>
                    <w:t>documentazione specifica con le indicazioni per i dipendenti dell’Amministrazione Cantonale</w:t>
                  </w:r>
                  <w:r>
                    <w:rPr>
                      <w:color w:val="auto"/>
                    </w:rPr>
                    <w:t>, che trovate qui allegata per opportuna informazione. Tali indicazioni possono infatti risultare d’interesse anche per le vostre amministrazioni locali</w:t>
                  </w:r>
                  <w:r>
                    <w:rPr>
                      <w:color w:val="1F497D"/>
                    </w:rPr>
                    <w:t>.</w:t>
                  </w:r>
                </w:p>
                <w:p w14:paraId="4D750CB2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</w:p>
                <w:p w14:paraId="1E74D937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Teniamo a chiarire che anche con l’entrata in vigore delle nuove disposizioni federali e cantonali (e delle relative specifiche indicazioni sul ricorso al telelavoro) </w:t>
                  </w:r>
                  <w:r>
                    <w:rPr>
                      <w:b/>
                      <w:bCs/>
                      <w:color w:val="auto"/>
                    </w:rPr>
                    <w:t>il funzionamento delle Amministrazioni comunali deve continuare a essere garantito</w:t>
                  </w:r>
                  <w:r>
                    <w:rPr>
                      <w:color w:val="auto"/>
                    </w:rPr>
                    <w:t>. In tal senso, i compiti che i Comuni sono chiamati in questi giorni a svolgere nell’ambito della campagna di vaccinazione sono da considerarsi quali attività essenziali.</w:t>
                  </w:r>
                </w:p>
                <w:p w14:paraId="03BDD093" w14:textId="77777777" w:rsidR="0030478B" w:rsidRDefault="0030478B">
                  <w:pPr>
                    <w:pStyle w:val="NormaleWeb"/>
                    <w:ind w:left="0"/>
                    <w:jc w:val="both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23F756B8" w14:textId="77777777" w:rsidR="0030478B" w:rsidRDefault="0030478B">
                  <w:pPr>
                    <w:pStyle w:val="NormaleWeb"/>
                    <w:ind w:left="0"/>
                    <w:jc w:val="both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62C696FA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Grati per la vostra collaborazione, vi salutiamo cordialmente</w:t>
                  </w:r>
                </w:p>
                <w:p w14:paraId="779ACF41" w14:textId="77777777" w:rsidR="0030478B" w:rsidRDefault="0030478B">
                  <w:pPr>
                    <w:pStyle w:val="NormaleWeb"/>
                    <w:jc w:val="both"/>
                    <w:rPr>
                      <w:color w:val="auto"/>
                    </w:rPr>
                  </w:pPr>
                </w:p>
                <w:p w14:paraId="090DFA09" w14:textId="77777777" w:rsidR="0030478B" w:rsidRDefault="0030478B">
                  <w:pPr>
                    <w:pStyle w:val="NormaleWeb"/>
                    <w:rPr>
                      <w:color w:val="auto"/>
                    </w:rPr>
                  </w:pPr>
                  <w:r>
                    <w:rPr>
                      <w:i/>
                      <w:iCs/>
                      <w:color w:val="auto"/>
                    </w:rPr>
                    <w:t>La Sezione degli enti locali</w:t>
                  </w:r>
                </w:p>
              </w:tc>
            </w:tr>
            <w:tr w:rsidR="0030478B" w14:paraId="2210948E" w14:textId="77777777">
              <w:trPr>
                <w:tblCellSpacing w:w="18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95A8E43" w14:textId="77777777" w:rsidR="0030478B" w:rsidRDefault="0030478B">
                  <w:pPr>
                    <w:pStyle w:val="NormaleWeb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711FDAEF" w14:textId="77777777" w:rsidR="0030478B" w:rsidRDefault="003047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5FE0EE" w14:textId="77777777" w:rsidR="007D01AA" w:rsidRDefault="007D01AA"/>
    <w:sectPr w:rsidR="007D0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B"/>
    <w:rsid w:val="0030478B"/>
    <w:rsid w:val="007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19102"/>
  <w15:chartTrackingRefBased/>
  <w15:docId w15:val="{680C6ECF-ACE7-4DB3-9BE3-DB5661F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78B"/>
    <w:pPr>
      <w:spacing w:after="0" w:line="240" w:lineRule="auto"/>
    </w:pPr>
    <w:rPr>
      <w:rFonts w:ascii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478B"/>
    <w:rPr>
      <w:color w:val="0072CF"/>
      <w:u w:val="single"/>
    </w:rPr>
  </w:style>
  <w:style w:type="paragraph" w:styleId="NormaleWeb">
    <w:name w:val="Normal (Web)"/>
    <w:basedOn w:val="Normale"/>
    <w:uiPriority w:val="99"/>
    <w:semiHidden/>
    <w:unhideWhenUsed/>
    <w:rsid w:val="0030478B"/>
    <w:pPr>
      <w:ind w:left="225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i.ch/dss/dsp/covid19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3.ti.ch/CAN/RLeggi/public/index.php/raccolta-leggi/legge/num/705/index17/189.150/evidenzia/false/esplodi/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ti.ch/fileadmin/DSS/DSP/UMC/malattie_infettive/Coronavirus/RG/20210115_Infografica_RG_190.pdf" TargetMode="External"/><Relationship Id="rId5" Type="http://schemas.openxmlformats.org/officeDocument/2006/relationships/hyperlink" Target="https://www4.ti.ch/fileadmin/DSS/DSP/UMC/malattie_infettive/Coronavirus/RG/20210115_RG_19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Bedigliora</dc:creator>
  <cp:keywords/>
  <dc:description/>
  <cp:lastModifiedBy>Municipio Bedigliora</cp:lastModifiedBy>
  <cp:revision>1</cp:revision>
  <dcterms:created xsi:type="dcterms:W3CDTF">2021-01-18T09:52:00Z</dcterms:created>
  <dcterms:modified xsi:type="dcterms:W3CDTF">2021-01-18T09:53:00Z</dcterms:modified>
</cp:coreProperties>
</file>