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731663" w:rsidTr="00731663">
        <w:trPr>
          <w:tblCellSpacing w:w="0" w:type="dxa"/>
          <w:jc w:val="center"/>
        </w:trPr>
        <w:tc>
          <w:tcPr>
            <w:tcW w:w="0" w:type="auto"/>
            <w:vAlign w:val="center"/>
          </w:tcPr>
          <w:tbl>
            <w:tblPr>
              <w:tblW w:w="9750" w:type="dxa"/>
              <w:tblCellSpacing w:w="0" w:type="dxa"/>
              <w:tblCellMar>
                <w:left w:w="0" w:type="dxa"/>
                <w:right w:w="0" w:type="dxa"/>
              </w:tblCellMar>
              <w:tblLook w:val="04A0" w:firstRow="1" w:lastRow="0" w:firstColumn="1" w:lastColumn="0" w:noHBand="0" w:noVBand="1"/>
            </w:tblPr>
            <w:tblGrid>
              <w:gridCol w:w="3187"/>
              <w:gridCol w:w="4779"/>
              <w:gridCol w:w="1784"/>
            </w:tblGrid>
            <w:tr w:rsidR="00731663">
              <w:trPr>
                <w:tblCellSpacing w:w="0" w:type="dxa"/>
              </w:trPr>
              <w:tc>
                <w:tcPr>
                  <w:tcW w:w="3000" w:type="dxa"/>
                  <w:vAlign w:val="bottom"/>
                  <w:hideMark/>
                </w:tcPr>
                <w:p w:rsidR="00731663" w:rsidRDefault="00731663">
                  <w:pPr>
                    <w:pStyle w:val="NormaleWeb"/>
                  </w:pPr>
                  <w:r>
                    <w:t> </w:t>
                  </w:r>
                </w:p>
              </w:tc>
              <w:tc>
                <w:tcPr>
                  <w:tcW w:w="4500" w:type="dxa"/>
                  <w:vAlign w:val="bottom"/>
                  <w:hideMark/>
                </w:tcPr>
                <w:p w:rsidR="00731663" w:rsidRDefault="00731663"/>
              </w:tc>
              <w:tc>
                <w:tcPr>
                  <w:tcW w:w="1680" w:type="dxa"/>
                  <w:vAlign w:val="bottom"/>
                  <w:hideMark/>
                </w:tcPr>
                <w:p w:rsidR="00731663" w:rsidRDefault="00731663">
                  <w:pPr>
                    <w:rPr>
                      <w:rFonts w:ascii="Times New Roman" w:eastAsia="Times New Roman" w:hAnsi="Times New Roman" w:cs="Times New Roman"/>
                      <w:sz w:val="20"/>
                      <w:szCs w:val="20"/>
                    </w:rPr>
                  </w:pPr>
                </w:p>
              </w:tc>
            </w:tr>
          </w:tbl>
          <w:p w:rsidR="00731663" w:rsidRDefault="00731663">
            <w:pPr>
              <w:rPr>
                <w:rFonts w:eastAsia="Times New Roman"/>
                <w:vanish/>
              </w:rPr>
            </w:pPr>
          </w:p>
          <w:tbl>
            <w:tblPr>
              <w:tblW w:w="9750" w:type="dxa"/>
              <w:tblCellSpacing w:w="0" w:type="dxa"/>
              <w:tblCellMar>
                <w:left w:w="0" w:type="dxa"/>
                <w:right w:w="0" w:type="dxa"/>
              </w:tblCellMar>
              <w:tblLook w:val="04A0" w:firstRow="1" w:lastRow="0" w:firstColumn="1" w:lastColumn="0" w:noHBand="0" w:noVBand="1"/>
            </w:tblPr>
            <w:tblGrid>
              <w:gridCol w:w="9750"/>
            </w:tblGrid>
            <w:tr w:rsidR="00731663">
              <w:trPr>
                <w:tblCellSpacing w:w="0" w:type="dxa"/>
              </w:trPr>
              <w:tc>
                <w:tcPr>
                  <w:tcW w:w="9750" w:type="dxa"/>
                </w:tcPr>
                <w:tbl>
                  <w:tblPr>
                    <w:tblW w:w="9750" w:type="dxa"/>
                    <w:tblCellSpacing w:w="0" w:type="dxa"/>
                    <w:tblCellMar>
                      <w:left w:w="0" w:type="dxa"/>
                      <w:right w:w="0" w:type="dxa"/>
                    </w:tblCellMar>
                    <w:tblLook w:val="04A0" w:firstRow="1" w:lastRow="0" w:firstColumn="1" w:lastColumn="0" w:noHBand="0" w:noVBand="1"/>
                  </w:tblPr>
                  <w:tblGrid>
                    <w:gridCol w:w="3000"/>
                    <w:gridCol w:w="5115"/>
                    <w:gridCol w:w="1635"/>
                  </w:tblGrid>
                  <w:tr w:rsidR="00731663">
                    <w:trPr>
                      <w:tblCellSpacing w:w="0" w:type="dxa"/>
                    </w:trPr>
                    <w:tc>
                      <w:tcPr>
                        <w:tcW w:w="3000" w:type="dxa"/>
                        <w:vAlign w:val="center"/>
                        <w:hideMark/>
                      </w:tcPr>
                      <w:p w:rsidR="00731663" w:rsidRDefault="00731663">
                        <w:pPr>
                          <w:rPr>
                            <w:rFonts w:eastAsia="Times New Roman"/>
                          </w:rPr>
                        </w:pPr>
                        <w:r>
                          <w:rPr>
                            <w:rFonts w:eastAsia="Times New Roman"/>
                            <w:noProof/>
                            <w:color w:val="4B98D7"/>
                          </w:rPr>
                          <w:drawing>
                            <wp:inline distT="0" distB="0" distL="0" distR="0">
                              <wp:extent cx="1752600" cy="476250"/>
                              <wp:effectExtent l="0" t="0" r="0" b="0"/>
                              <wp:docPr id="6" name="Immagine 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r>
                          <w:rPr>
                            <w:rFonts w:eastAsia="Times New Roman"/>
                          </w:rPr>
                          <w:br/>
                          <w:t> </w:t>
                        </w:r>
                      </w:p>
                    </w:tc>
                    <w:tc>
                      <w:tcPr>
                        <w:tcW w:w="0" w:type="auto"/>
                        <w:vAlign w:val="center"/>
                        <w:hideMark/>
                      </w:tcPr>
                      <w:p w:rsidR="00731663" w:rsidRDefault="00731663">
                        <w:pPr>
                          <w:rPr>
                            <w:rFonts w:eastAsia="Times New Roman"/>
                          </w:rPr>
                        </w:pPr>
                        <w:r>
                          <w:rPr>
                            <w:rFonts w:eastAsia="Times New Roman"/>
                          </w:rPr>
                          <w:t> </w:t>
                        </w:r>
                      </w:p>
                    </w:tc>
                    <w:tc>
                      <w:tcPr>
                        <w:tcW w:w="1635" w:type="dxa"/>
                        <w:vAlign w:val="bottom"/>
                        <w:hideMark/>
                      </w:tcPr>
                      <w:p w:rsidR="00731663" w:rsidRDefault="00731663">
                        <w:pPr>
                          <w:pStyle w:val="text"/>
                          <w:jc w:val="center"/>
                        </w:pPr>
                        <w:r>
                          <w:t>10 dicembre 2019</w:t>
                        </w:r>
                      </w:p>
                    </w:tc>
                  </w:tr>
                </w:tbl>
                <w:p w:rsidR="00731663" w:rsidRDefault="00731663">
                  <w:pPr>
                    <w:rPr>
                      <w:rFonts w:eastAsia="Times New Roman"/>
                      <w:vanish/>
                    </w:rPr>
                  </w:pPr>
                </w:p>
                <w:tbl>
                  <w:tblPr>
                    <w:tblW w:w="9750" w:type="dxa"/>
                    <w:tblCellSpacing w:w="0" w:type="dxa"/>
                    <w:tblCellMar>
                      <w:left w:w="0" w:type="dxa"/>
                      <w:right w:w="0" w:type="dxa"/>
                    </w:tblCellMar>
                    <w:tblLook w:val="04A0" w:firstRow="1" w:lastRow="0" w:firstColumn="1" w:lastColumn="0" w:noHBand="0" w:noVBand="1"/>
                  </w:tblPr>
                  <w:tblGrid>
                    <w:gridCol w:w="8232"/>
                    <w:gridCol w:w="1518"/>
                  </w:tblGrid>
                  <w:tr w:rsidR="00731663">
                    <w:trPr>
                      <w:tblCellSpacing w:w="0" w:type="dxa"/>
                    </w:trPr>
                    <w:tc>
                      <w:tcPr>
                        <w:tcW w:w="0" w:type="auto"/>
                        <w:tcBorders>
                          <w:top w:val="single" w:sz="6" w:space="0" w:color="auto"/>
                          <w:left w:val="nil"/>
                          <w:bottom w:val="nil"/>
                          <w:right w:val="nil"/>
                        </w:tcBorders>
                        <w:vAlign w:val="center"/>
                        <w:hideMark/>
                      </w:tcPr>
                      <w:p w:rsidR="00731663" w:rsidRDefault="00731663">
                        <w:pPr>
                          <w:pStyle w:val="Titolo1"/>
                          <w:rPr>
                            <w:rFonts w:eastAsia="Times New Roman"/>
                          </w:rPr>
                        </w:pPr>
                        <w:r>
                          <w:rPr>
                            <w:rFonts w:eastAsia="Times New Roman"/>
                          </w:rPr>
                          <w:t>Newsletter</w:t>
                        </w:r>
                      </w:p>
                      <w:p w:rsidR="00731663" w:rsidRDefault="00731663">
                        <w:pPr>
                          <w:pStyle w:val="Titolo5"/>
                          <w:rPr>
                            <w:rFonts w:eastAsia="Times New Roman"/>
                          </w:rPr>
                        </w:pPr>
                        <w:hyperlink r:id="rId7" w:history="1">
                          <w:r>
                            <w:rPr>
                              <w:rStyle w:val="Collegamentoipertestuale"/>
                              <w:rFonts w:eastAsia="Times New Roman"/>
                            </w:rPr>
                            <w:t>Laboratorio cantonale</w:t>
                          </w:r>
                        </w:hyperlink>
                      </w:p>
                    </w:tc>
                    <w:tc>
                      <w:tcPr>
                        <w:tcW w:w="780" w:type="dxa"/>
                        <w:tcBorders>
                          <w:top w:val="single" w:sz="6" w:space="0" w:color="auto"/>
                          <w:left w:val="nil"/>
                          <w:bottom w:val="nil"/>
                          <w:right w:val="nil"/>
                        </w:tcBorders>
                        <w:vAlign w:val="bottom"/>
                        <w:hideMark/>
                      </w:tcPr>
                      <w:p w:rsidR="00731663" w:rsidRDefault="00731663">
                        <w:pPr>
                          <w:spacing w:line="1650" w:lineRule="atLeast"/>
                          <w:jc w:val="center"/>
                          <w:rPr>
                            <w:rFonts w:ascii="Helvetica" w:eastAsia="Times New Roman" w:hAnsi="Helvetica" w:cs="Helvetica"/>
                            <w:b/>
                            <w:bCs/>
                            <w:color w:val="FFFFFF"/>
                            <w:sz w:val="42"/>
                            <w:szCs w:val="42"/>
                          </w:rPr>
                        </w:pPr>
                        <w:r>
                          <w:rPr>
                            <w:rFonts w:ascii="Helvetica" w:eastAsia="Times New Roman" w:hAnsi="Helvetica" w:cs="Helvetica"/>
                            <w:b/>
                            <w:bCs/>
                            <w:color w:val="FFFFFF"/>
                            <w:sz w:val="42"/>
                            <w:szCs w:val="42"/>
                          </w:rPr>
                          <w:t>       128</w:t>
                        </w:r>
                      </w:p>
                    </w:tc>
                  </w:tr>
                </w:tbl>
                <w:p w:rsidR="00731663" w:rsidRDefault="00731663">
                  <w:pPr>
                    <w:rPr>
                      <w:rFonts w:ascii="Times New Roman" w:eastAsia="Times New Roman" w:hAnsi="Times New Roman" w:cs="Times New Roman"/>
                      <w:sz w:val="20"/>
                      <w:szCs w:val="20"/>
                    </w:rPr>
                  </w:pPr>
                </w:p>
              </w:tc>
            </w:tr>
            <w:tr w:rsidR="00731663">
              <w:trPr>
                <w:trHeight w:val="750"/>
                <w:tblCellSpacing w:w="0" w:type="dxa"/>
              </w:trPr>
              <w:tc>
                <w:tcPr>
                  <w:tcW w:w="0" w:type="auto"/>
                  <w:tcBorders>
                    <w:top w:val="single" w:sz="6" w:space="0" w:color="auto"/>
                    <w:left w:val="nil"/>
                    <w:bottom w:val="nil"/>
                    <w:right w:val="nil"/>
                  </w:tcBorders>
                  <w:vAlign w:val="center"/>
                  <w:hideMark/>
                </w:tcPr>
                <w:p w:rsidR="00731663" w:rsidRDefault="00731663">
                  <w:pPr>
                    <w:rPr>
                      <w:rFonts w:eastAsia="Times New Roman"/>
                    </w:rPr>
                  </w:pPr>
                  <w:r>
                    <w:rPr>
                      <w:rFonts w:eastAsia="Times New Roman"/>
                    </w:rPr>
                    <w:t> </w:t>
                  </w:r>
                </w:p>
              </w:tc>
            </w:tr>
          </w:tbl>
          <w:p w:rsidR="00731663" w:rsidRDefault="00731663">
            <w:pPr>
              <w:rPr>
                <w:rFonts w:eastAsia="Times New Roman"/>
                <w:vanish/>
              </w:rPr>
            </w:pPr>
          </w:p>
          <w:tbl>
            <w:tblPr>
              <w:tblW w:w="9750" w:type="dxa"/>
              <w:tblCellSpacing w:w="0" w:type="dxa"/>
              <w:tblCellMar>
                <w:left w:w="0" w:type="dxa"/>
                <w:right w:w="0" w:type="dxa"/>
              </w:tblCellMar>
              <w:tblLook w:val="04A0" w:firstRow="1" w:lastRow="0" w:firstColumn="1" w:lastColumn="0" w:noHBand="0" w:noVBand="1"/>
            </w:tblPr>
            <w:tblGrid>
              <w:gridCol w:w="9750"/>
            </w:tblGrid>
            <w:tr w:rsidR="00731663">
              <w:trPr>
                <w:tblCellSpacing w:w="0" w:type="dxa"/>
              </w:trPr>
              <w:tc>
                <w:tcPr>
                  <w:tcW w:w="0" w:type="auto"/>
                  <w:vAlign w:val="center"/>
                </w:tcPr>
                <w:tbl>
                  <w:tblPr>
                    <w:tblW w:w="9750" w:type="dxa"/>
                    <w:tblCellSpacing w:w="0" w:type="dxa"/>
                    <w:tblCellMar>
                      <w:left w:w="0" w:type="dxa"/>
                      <w:right w:w="0" w:type="dxa"/>
                    </w:tblCellMar>
                    <w:tblLook w:val="04A0" w:firstRow="1" w:lastRow="0" w:firstColumn="1" w:lastColumn="0" w:noHBand="0" w:noVBand="1"/>
                  </w:tblPr>
                  <w:tblGrid>
                    <w:gridCol w:w="9750"/>
                  </w:tblGrid>
                  <w:tr w:rsidR="00731663">
                    <w:trPr>
                      <w:tblCellSpacing w:w="0" w:type="dxa"/>
                    </w:trPr>
                    <w:tc>
                      <w:tcPr>
                        <w:tcW w:w="1650" w:type="pct"/>
                        <w:vAlign w:val="center"/>
                        <w:hideMark/>
                      </w:tcPr>
                      <w:p w:rsidR="00731663" w:rsidRDefault="00731663">
                        <w:pPr>
                          <w:pStyle w:val="Titolo3"/>
                          <w:rPr>
                            <w:rFonts w:eastAsia="Times New Roman"/>
                          </w:rPr>
                        </w:pPr>
                        <w:r>
                          <w:rPr>
                            <w:rFonts w:eastAsia="Times New Roman"/>
                            <w:shd w:val="clear" w:color="auto" w:fill="D84C9B"/>
                          </w:rPr>
                          <w:t xml:space="preserve"> News  </w:t>
                        </w: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750"/>
                        </w:tblGrid>
                        <w:tr w:rsidR="00731663">
                          <w:trPr>
                            <w:tblCellSpacing w:w="0" w:type="dxa"/>
                          </w:trPr>
                          <w:tc>
                            <w:tcPr>
                              <w:tcW w:w="0" w:type="auto"/>
                              <w:vAlign w:val="center"/>
                              <w:hideMark/>
                            </w:tcPr>
                            <w:p w:rsidR="00731663" w:rsidRDefault="00731663">
                              <w:pPr>
                                <w:pStyle w:val="Titolo2"/>
                                <w:rPr>
                                  <w:rFonts w:eastAsia="Times New Roman"/>
                                </w:rPr>
                              </w:pPr>
                              <w:r>
                                <w:rPr>
                                  <w:rFonts w:eastAsia="Times New Roman"/>
                                </w:rPr>
                                <w:t>01.</w:t>
                              </w:r>
                            </w:p>
                            <w:p w:rsidR="00731663" w:rsidRDefault="00731663">
                              <w:pPr>
                                <w:pStyle w:val="Titolo4"/>
                                <w:rPr>
                                  <w:rFonts w:eastAsia="Times New Roman"/>
                                </w:rPr>
                              </w:pPr>
                              <w:r>
                                <w:rPr>
                                  <w:rFonts w:eastAsia="Times New Roman"/>
                                </w:rPr>
                                <w:t>Legislazione alimentare federale: adeguato l’utilizzo di diverse sostanze per una migliore protezione dei consumatori </w:t>
                              </w:r>
                            </w:p>
                            <w:p w:rsidR="00731663" w:rsidRDefault="00731663">
                              <w:pPr>
                                <w:rPr>
                                  <w:rFonts w:eastAsia="Times New Roman"/>
                                </w:rPr>
                              </w:pPr>
                              <w:r>
                                <w:rPr>
                                  <w:rFonts w:eastAsia="Times New Roman"/>
                                  <w:noProof/>
                                </w:rPr>
                                <w:drawing>
                                  <wp:inline distT="0" distB="0" distL="0" distR="0">
                                    <wp:extent cx="4105275" cy="19716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1971675"/>
                                            </a:xfrm>
                                            <a:prstGeom prst="rect">
                                              <a:avLst/>
                                            </a:prstGeom>
                                            <a:noFill/>
                                            <a:ln>
                                              <a:noFill/>
                                            </a:ln>
                                          </pic:spPr>
                                        </pic:pic>
                                      </a:graphicData>
                                    </a:graphic>
                                  </wp:inline>
                                </w:drawing>
                              </w:r>
                              <w:r>
                                <w:rPr>
                                  <w:rFonts w:eastAsia="Times New Roman"/>
                                </w:rPr>
                                <w:br/>
                              </w:r>
                              <w:r>
                                <w:rPr>
                                  <w:rFonts w:eastAsia="Times New Roman"/>
                                </w:rPr>
                                <w:br/>
                                <w:t xml:space="preserve">Il DFI e l’USAV adeguano cinque ordinanze al diritto europeo. Gli adeguamenti contribuiscono a migliorare la protezione dei consumatori e riguardano sostanze, quali </w:t>
                              </w:r>
                              <w:proofErr w:type="gramStart"/>
                              <w:r>
                                <w:rPr>
                                  <w:rFonts w:eastAsia="Times New Roman"/>
                                </w:rPr>
                                <w:t>gli</w:t>
                              </w:r>
                              <w:proofErr w:type="gramEnd"/>
                              <w:r>
                                <w:rPr>
                                  <w:rFonts w:eastAsia="Times New Roman"/>
                                </w:rPr>
                                <w:t xml:space="preserve"> ftalati e il bisfenolo A, che si trovano tra l’altro in giocattoli, nebulizzatori e abiti, e residui di medicinali veterinari negli alimenti di origine animale. Nell’ordinanza sui giocattoli e nell’ordinanza sugli oggetti che vengono a contatto con il corpo umano viene ulteriormente limitato l’utilizzo di ftalati nei giocattoli. Altre modifiche dell’ordinanza sugli oggetti che vengono a contatto con il corpo umano permettono di vietare in futuro sostanze cancerogene, mutagene o tossiche per la riproduzione negli abiti e nelle scarpe. Adeguamenti dell’ordinanza sui materiali e gli oggetti riguardano l’impiego del bisfenolo A. È stata infine adeguata l’ordinanza concernente i generatori aerosol, che ora disciplina anche la pressione massima ammessa nei nebulizzatori e vieta ulteriori propellenti. Nell’ordinanza concernente i limiti massimi per i residui di sostanze farmacologicamente attive e di additivi per alimenti per animali nelle derrate alimentari di origine animale sono state aggiunte nuove sostanze attive o singole sostanze sono state estese ad altre specie animali o derrate alimentari.</w:t>
                              </w:r>
                              <w:r>
                                <w:rPr>
                                  <w:rFonts w:eastAsia="Times New Roman"/>
                                </w:rPr>
                                <w:br/>
                              </w:r>
                              <w:r>
                                <w:rPr>
                                  <w:rFonts w:eastAsia="Times New Roman"/>
                                </w:rPr>
                                <w:lastRenderedPageBreak/>
                                <w:br/>
                              </w:r>
                              <w:hyperlink r:id="rId9" w:tgtFrame="_blank" w:history="1">
                                <w:r>
                                  <w:rPr>
                                    <w:rStyle w:val="Collegamentoipertestuale"/>
                                    <w:rFonts w:eastAsia="Times New Roman"/>
                                  </w:rPr>
                                  <w:t>Per saperne di più ...</w:t>
                                </w:r>
                              </w:hyperlink>
                            </w:p>
                            <w:p w:rsidR="00731663" w:rsidRDefault="00731663">
                              <w:pPr>
                                <w:pStyle w:val="Titolo2"/>
                                <w:rPr>
                                  <w:rFonts w:eastAsia="Times New Roman"/>
                                </w:rPr>
                              </w:pPr>
                              <w:r>
                                <w:rPr>
                                  <w:rFonts w:eastAsia="Times New Roman"/>
                                </w:rPr>
                                <w:t>02.</w:t>
                              </w:r>
                            </w:p>
                            <w:p w:rsidR="00731663" w:rsidRDefault="00731663">
                              <w:pPr>
                                <w:pStyle w:val="Titolo4"/>
                                <w:rPr>
                                  <w:rFonts w:eastAsia="Times New Roman"/>
                                </w:rPr>
                              </w:pPr>
                              <w:r>
                                <w:rPr>
                                  <w:rFonts w:eastAsia="Times New Roman"/>
                                </w:rPr>
                                <w:t>Pubblicati due concorsi per apprendista in chimica e in biologia presso il Laboratorio cantonale </w:t>
                              </w:r>
                            </w:p>
                            <w:p w:rsidR="00731663" w:rsidRDefault="00731663">
                              <w:pPr>
                                <w:rPr>
                                  <w:rFonts w:eastAsia="Times New Roman"/>
                                </w:rPr>
                              </w:pPr>
                              <w:r>
                                <w:rPr>
                                  <w:rFonts w:eastAsia="Times New Roman"/>
                                </w:rPr>
                                <w:t xml:space="preserve">Segnaliamo che sono stati </w:t>
                              </w:r>
                              <w:hyperlink r:id="rId10" w:tgtFrame="_blank" w:history="1">
                                <w:r>
                                  <w:rPr>
                                    <w:rStyle w:val="Collegamentoipertestuale"/>
                                    <w:rFonts w:eastAsia="Times New Roman"/>
                                  </w:rPr>
                                  <w:t>pubblicati su Internet</w:t>
                                </w:r>
                              </w:hyperlink>
                              <w:r>
                                <w:rPr>
                                  <w:rFonts w:eastAsia="Times New Roman"/>
                                </w:rPr>
                                <w:t xml:space="preserve"> (e sul Foglio Ufficiale) i concorsi:</w:t>
                              </w:r>
                            </w:p>
                            <w:p w:rsidR="00731663" w:rsidRDefault="00731663" w:rsidP="00553963">
                              <w:pPr>
                                <w:numPr>
                                  <w:ilvl w:val="0"/>
                                  <w:numId w:val="1"/>
                                </w:numPr>
                                <w:spacing w:before="100" w:beforeAutospacing="1" w:after="100" w:afterAutospacing="1"/>
                                <w:rPr>
                                  <w:rFonts w:eastAsia="Times New Roman"/>
                                </w:rPr>
                              </w:pPr>
                              <w:r>
                                <w:rPr>
                                  <w:rFonts w:eastAsia="Times New Roman"/>
                                </w:rPr>
                                <w:t>no. 180/19 1 Apprendista laboratorista in chimica AFC</w:t>
                              </w:r>
                            </w:p>
                            <w:p w:rsidR="00731663" w:rsidRDefault="00731663" w:rsidP="00553963">
                              <w:pPr>
                                <w:numPr>
                                  <w:ilvl w:val="0"/>
                                  <w:numId w:val="1"/>
                                </w:numPr>
                                <w:spacing w:before="100" w:beforeAutospacing="1" w:after="100" w:afterAutospacing="1"/>
                                <w:rPr>
                                  <w:rFonts w:eastAsia="Times New Roman"/>
                                </w:rPr>
                              </w:pPr>
                              <w:r>
                                <w:rPr>
                                  <w:rFonts w:eastAsia="Times New Roman"/>
                                </w:rPr>
                                <w:t>no. 181/19 1 Apprendista laboratorista in biologia AFC</w:t>
                              </w:r>
                            </w:p>
                            <w:p w:rsidR="00731663" w:rsidRDefault="00731663">
                              <w:pPr>
                                <w:rPr>
                                  <w:rFonts w:eastAsia="Times New Roman"/>
                                </w:rPr>
                              </w:pPr>
                              <w:r>
                                <w:rPr>
                                  <w:rFonts w:eastAsia="Times New Roman"/>
                                </w:rPr>
                                <w:t>per il periodo dal 31 agosto 2020 al 30 agosto 2023, presso il Laboratorio cantonale.</w:t>
                              </w:r>
                              <w:r>
                                <w:rPr>
                                  <w:rFonts w:eastAsia="Times New Roman"/>
                                </w:rPr>
                                <w:br/>
                                <w:t>La scadenza degli stessi è stata fissata al 31 gennaio 2020.</w:t>
                              </w:r>
                            </w:p>
                            <w:p w:rsidR="00731663" w:rsidRDefault="00731663">
                              <w:pPr>
                                <w:pStyle w:val="Titolo2"/>
                                <w:rPr>
                                  <w:rFonts w:eastAsia="Times New Roman"/>
                                </w:rPr>
                              </w:pPr>
                              <w:r>
                                <w:rPr>
                                  <w:rFonts w:eastAsia="Times New Roman"/>
                                </w:rPr>
                                <w:t>03.</w:t>
                              </w:r>
                            </w:p>
                            <w:p w:rsidR="00731663" w:rsidRDefault="00731663">
                              <w:pPr>
                                <w:pStyle w:val="Titolo4"/>
                                <w:rPr>
                                  <w:rFonts w:eastAsia="Times New Roman"/>
                                </w:rPr>
                              </w:pPr>
                              <w:r>
                                <w:rPr>
                                  <w:rFonts w:eastAsia="Times New Roman"/>
                                </w:rPr>
                                <w:t>Accettazione campioni per analisi private durante le feste natalizie</w:t>
                              </w:r>
                            </w:p>
                            <w:p w:rsidR="00731663" w:rsidRDefault="00731663">
                              <w:pPr>
                                <w:rPr>
                                  <w:rFonts w:eastAsia="Times New Roman"/>
                                </w:rPr>
                              </w:pPr>
                              <w:r>
                                <w:rPr>
                                  <w:rFonts w:eastAsia="Times New Roman"/>
                                  <w:noProof/>
                                </w:rPr>
                                <w:drawing>
                                  <wp:inline distT="0" distB="0" distL="0" distR="0">
                                    <wp:extent cx="2886075" cy="21717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171700"/>
                                            </a:xfrm>
                                            <a:prstGeom prst="rect">
                                              <a:avLst/>
                                            </a:prstGeom>
                                            <a:noFill/>
                                            <a:ln>
                                              <a:noFill/>
                                            </a:ln>
                                          </pic:spPr>
                                        </pic:pic>
                                      </a:graphicData>
                                    </a:graphic>
                                  </wp:inline>
                                </w:drawing>
                              </w:r>
                              <w:r>
                                <w:rPr>
                                  <w:rFonts w:eastAsia="Times New Roman"/>
                                </w:rPr>
                                <w:br/>
                              </w:r>
                              <w:r>
                                <w:rPr>
                                  <w:rFonts w:eastAsia="Times New Roman"/>
                                </w:rPr>
                                <w:br/>
                              </w:r>
                              <w:proofErr w:type="spellStart"/>
                              <w:r>
                                <w:rPr>
                                  <w:rFonts w:eastAsia="Times New Roman"/>
                                </w:rPr>
                                <w:t>Comunchiamo</w:t>
                              </w:r>
                              <w:proofErr w:type="spellEnd"/>
                              <w:r>
                                <w:rPr>
                                  <w:rFonts w:eastAsia="Times New Roman"/>
                                </w:rPr>
                                <w:t xml:space="preserve"> ai gentili utenti e alla gentile clientela del Laboratorio cantonale che durante il periodo natalizio l'attività ufficiale di controllo sarà regolare mentre verranno ridotte le prestazioni analitiche per terzi (privati) nel modo seguente.</w:t>
                              </w:r>
                              <w:r>
                                <w:rPr>
                                  <w:rFonts w:eastAsia="Times New Roman"/>
                                </w:rPr>
                                <w:br/>
                                <w:t>• Per le analisi chimiche di campioni privati di acqua e derrate alimentari - Termini di consegna: entro il 18.12.2019 comunque sempre dopo contatto con i responsabili di settore</w:t>
                              </w:r>
                              <w:r>
                                <w:rPr>
                                  <w:rFonts w:eastAsia="Times New Roman"/>
                                </w:rPr>
                                <w:br/>
                                <w:t>• Per le analisi microbiologiche di campioni privati di acqua o derrate alimentari - Termini di consegna: entro il 18.12.2019 </w:t>
                              </w:r>
                              <w:r>
                                <w:rPr>
                                  <w:rFonts w:eastAsia="Times New Roman"/>
                                </w:rPr>
                                <w:br/>
                              </w:r>
                              <w:r>
                                <w:rPr>
                                  <w:rFonts w:eastAsia="Times New Roman"/>
                                </w:rPr>
                                <w:br/>
                                <w:t xml:space="preserve">Il ritorno al regime di normale accettazione dei campioni </w:t>
                              </w:r>
                              <w:proofErr w:type="spellStart"/>
                              <w:r>
                                <w:rPr>
                                  <w:rFonts w:eastAsia="Times New Roman"/>
                                </w:rPr>
                                <w:t>avverà</w:t>
                              </w:r>
                              <w:proofErr w:type="spellEnd"/>
                              <w:r>
                                <w:rPr>
                                  <w:rFonts w:eastAsia="Times New Roman"/>
                                </w:rPr>
                                <w:t xml:space="preserve"> a partire dal 7.1.2020 sia per la microbiologia sia per la chimica.</w:t>
                              </w:r>
                              <w:r>
                                <w:rPr>
                                  <w:rFonts w:eastAsia="Times New Roman"/>
                                </w:rPr>
                                <w:br/>
                              </w:r>
                              <w:r>
                                <w:rPr>
                                  <w:rFonts w:eastAsia="Times New Roman"/>
                                </w:rPr>
                                <w:br/>
                                <w:t>Nei giorni lavorativi del periodo tra il 23.12.2019 e il 7.1.2020, le attività di dissigillo di cisterne di vino provenienti da zone DOC italiane così come quelle di posa di sigilli su palette o camion con destinazione Russia saranno possibili solo con preavviso di almeno 5 giorni lavorativi.</w:t>
                              </w:r>
                              <w:r>
                                <w:rPr>
                                  <w:rFonts w:eastAsia="Times New Roman"/>
                                </w:rPr>
                                <w:br/>
                              </w:r>
                              <w:r>
                                <w:rPr>
                                  <w:rFonts w:eastAsia="Times New Roman"/>
                                </w:rPr>
                                <w:br/>
                                <w:t xml:space="preserve">Rendiamo attenti inoltre che per urgenze fuori orario di lavoro (p.es. casi collettivi di malattie alimentari suffragati da diagnosi medica, incidenti o problemi alla rete di distribuzione dell'acqua potabile, ecc.) si </w:t>
                              </w:r>
                              <w:r>
                                <w:rPr>
                                  <w:rFonts w:eastAsia="Times New Roman"/>
                                </w:rPr>
                                <w:lastRenderedPageBreak/>
                                <w:t>raggiunge il picchetto del Laboratorio cantonale chiamando la Centrale di comando della Polizia al numero 0848 25 55 55.</w:t>
                              </w:r>
                            </w:p>
                            <w:p w:rsidR="00731663" w:rsidRDefault="00731663">
                              <w:pPr>
                                <w:pStyle w:val="Titolo2"/>
                                <w:rPr>
                                  <w:rFonts w:eastAsia="Times New Roman"/>
                                </w:rPr>
                              </w:pPr>
                              <w:r>
                                <w:rPr>
                                  <w:rFonts w:eastAsia="Times New Roman"/>
                                </w:rPr>
                                <w:t>04.</w:t>
                              </w:r>
                            </w:p>
                            <w:p w:rsidR="00731663" w:rsidRDefault="00731663">
                              <w:pPr>
                                <w:pStyle w:val="Titolo4"/>
                                <w:rPr>
                                  <w:rFonts w:eastAsia="Times New Roman"/>
                                </w:rPr>
                              </w:pPr>
                              <w:r>
                                <w:rPr>
                                  <w:rFonts w:eastAsia="Times New Roman"/>
                                </w:rPr>
                                <w:t>BUONE FESTE A TUTTI ... SENZA SPRECHI ALIMENTARI</w:t>
                              </w:r>
                            </w:p>
                            <w:p w:rsidR="00731663" w:rsidRDefault="00731663">
                              <w:pPr>
                                <w:rPr>
                                  <w:rFonts w:eastAsia="Times New Roman"/>
                                </w:rPr>
                              </w:pPr>
                              <w:r>
                                <w:rPr>
                                  <w:rFonts w:eastAsia="Times New Roman"/>
                                  <w:noProof/>
                                </w:rPr>
                                <w:drawing>
                                  <wp:inline distT="0" distB="0" distL="0" distR="0">
                                    <wp:extent cx="1562100" cy="20859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2085975"/>
                                            </a:xfrm>
                                            <a:prstGeom prst="rect">
                                              <a:avLst/>
                                            </a:prstGeom>
                                            <a:noFill/>
                                            <a:ln>
                                              <a:noFill/>
                                            </a:ln>
                                          </pic:spPr>
                                        </pic:pic>
                                      </a:graphicData>
                                    </a:graphic>
                                  </wp:inline>
                                </w:drawing>
                              </w:r>
                              <w:r>
                                <w:rPr>
                                  <w:rFonts w:eastAsia="Times New Roman"/>
                                  <w:noProof/>
                                </w:rPr>
                                <w:drawing>
                                  <wp:inline distT="0" distB="0" distL="0" distR="0">
                                    <wp:extent cx="4095750" cy="1581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1581150"/>
                                            </a:xfrm>
                                            <a:prstGeom prst="rect">
                                              <a:avLst/>
                                            </a:prstGeom>
                                            <a:noFill/>
                                            <a:ln>
                                              <a:noFill/>
                                            </a:ln>
                                          </pic:spPr>
                                        </pic:pic>
                                      </a:graphicData>
                                    </a:graphic>
                                  </wp:inline>
                                </w:drawing>
                              </w:r>
                              <w:r>
                                <w:rPr>
                                  <w:rFonts w:eastAsia="Times New Roman"/>
                                </w:rPr>
                                <w:t>  </w:t>
                              </w:r>
                            </w:p>
                            <w:p w:rsidR="00731663" w:rsidRDefault="00731663">
                              <w:pPr>
                                <w:rPr>
                                  <w:rFonts w:eastAsia="Times New Roman"/>
                                </w:rPr>
                              </w:pPr>
                              <w:r>
                                <w:rPr>
                                  <w:rFonts w:eastAsia="Times New Roman"/>
                                </w:rPr>
                                <w:br/>
                                <w:t>Secondo un recente studio condotto dal Politecnico federale di Zurigo, in Svizzera si sprecano 2.8 milioni di tonnellate di cibo ancora commestibile all'anno.  Si tratta di un fenomeno che tocca anche le economie domestiche, a causa di una ridotta percezione dello spreco, di un'insufficiente consapevolezza del valore delle derrate alimentari e di scarse conoscenze rispetto ai metodi corretti di conservazione. </w:t>
                              </w:r>
                              <w:r>
                                <w:rPr>
                                  <w:rFonts w:eastAsia="Times New Roman"/>
                                </w:rPr>
                                <w:br/>
                              </w:r>
                              <w:r>
                                <w:rPr>
                                  <w:rFonts w:eastAsia="Times New Roman"/>
                                </w:rPr>
                                <w:br/>
                                <w:t>Per sensibilizzare maggiormente i consumatori in merito a questa tematica, il 28 novembre 2019 ha preso il via una campagna nazionale (della durata di 3 anni) contro lo spreco alimentare. Il Cantone (Dipartimento del Territorio) ha aderito all'iniziativa e, in collaborazione con associazioni attive sul territorio fra le quali l'ACSI (Associazione consumatrici e consumatori della Svizzera italiana), il WWF, il GEASI (Gruppo di Educazione Ambientale della Svizzera italiana), intende affrontare il problema dello spreco alimentare da diverse prospettive e attraverso diverse modalità: dalla realizzazione di pubblicazioni informative all'organizzazione di attività o eventi di sensibilizzazione.</w:t>
                              </w:r>
                              <w:r>
                                <w:rPr>
                                  <w:rFonts w:eastAsia="Times New Roman"/>
                                </w:rPr>
                                <w:br/>
                              </w:r>
                              <w:r>
                                <w:rPr>
                                  <w:rFonts w:eastAsia="Times New Roman"/>
                                </w:rPr>
                                <w:br/>
                                <w:t>L'impegno del Cantone (Dipartimento del Territorio) è in linea con l’</w:t>
                              </w:r>
                              <w:hyperlink r:id="rId14" w:tgtFrame="_blank" w:history="1">
                                <w:r>
                                  <w:rPr>
                                    <w:rStyle w:val="Collegamentoipertestuale"/>
                                    <w:rFonts w:eastAsia="Times New Roman"/>
                                  </w:rPr>
                                  <w:t>Agenda 2030 per lo sviluppo sostenibile</w:t>
                                </w:r>
                              </w:hyperlink>
                              <w:r>
                                <w:rPr>
                                  <w:rFonts w:eastAsia="Times New Roman"/>
                                </w:rPr>
                                <w:t xml:space="preserve"> (programma d'azione delle Nazioni Unite), il cui obiettivo 12.3 riguarda proprio la riduzione dello spreco alimentare. Entro il 2030, la Svizzera è infatti chiamata a ridurre della metà lo spreco alimentare pro capite sia per quanto riguarda la vendita al dettaglio sia per le economie domestiche, come pure a contenere le perdite di cibo nelle catene di produzione e di fornitura.</w:t>
                              </w:r>
                              <w:r>
                                <w:rPr>
                                  <w:rFonts w:eastAsia="Times New Roman"/>
                                </w:rPr>
                                <w:br/>
                              </w:r>
                              <w:r>
                                <w:rPr>
                                  <w:rFonts w:eastAsia="Times New Roman"/>
                                </w:rPr>
                                <w:br/>
                                <w:t>Anche e soprattutto durante le Feste di fine anno, ogni singolo può contribuire seguendo i consigli elaborati dai colleghi del Dipartimento del Territorio sulla base delle schede informative dell'ACSI.</w:t>
                              </w:r>
                              <w:r>
                                <w:rPr>
                                  <w:rFonts w:eastAsia="Times New Roman"/>
                                </w:rPr>
                                <w:br/>
                              </w:r>
                              <w:r>
                                <w:rPr>
                                  <w:rFonts w:eastAsia="Times New Roman"/>
                                </w:rPr>
                                <w:br/>
                              </w:r>
                              <w:hyperlink r:id="rId15" w:tgtFrame="_blank" w:history="1">
                                <w:r>
                                  <w:rPr>
                                    <w:rStyle w:val="Collegamentoipertestuale"/>
                                    <w:rFonts w:eastAsia="Times New Roman"/>
                                  </w:rPr>
                                  <w:t>Per saperne di più ......</w:t>
                                </w:r>
                              </w:hyperlink>
                            </w:p>
                          </w:tc>
                        </w:tr>
                      </w:tbl>
                      <w:p w:rsidR="00731663" w:rsidRDefault="00731663">
                        <w:pPr>
                          <w:rPr>
                            <w:rFonts w:ascii="Times New Roman" w:eastAsia="Times New Roman" w:hAnsi="Times New Roman" w:cs="Times New Roman"/>
                            <w:sz w:val="20"/>
                            <w:szCs w:val="20"/>
                          </w:rPr>
                        </w:pPr>
                      </w:p>
                    </w:tc>
                  </w:tr>
                </w:tbl>
                <w:p w:rsidR="00731663" w:rsidRDefault="00731663">
                  <w:pPr>
                    <w:rPr>
                      <w:rFonts w:eastAsia="Times New Roman"/>
                      <w:vanish/>
                    </w:rPr>
                  </w:pPr>
                </w:p>
                <w:tbl>
                  <w:tblPr>
                    <w:tblW w:w="9750" w:type="dxa"/>
                    <w:tblCellSpacing w:w="0" w:type="dxa"/>
                    <w:tblCellMar>
                      <w:left w:w="0" w:type="dxa"/>
                      <w:right w:w="0" w:type="dxa"/>
                    </w:tblCellMar>
                    <w:tblLook w:val="04A0" w:firstRow="1" w:lastRow="0" w:firstColumn="1" w:lastColumn="0" w:noHBand="0" w:noVBand="1"/>
                  </w:tblPr>
                  <w:tblGrid>
                    <w:gridCol w:w="9750"/>
                  </w:tblGrid>
                  <w:tr w:rsidR="00731663">
                    <w:trPr>
                      <w:tblCellSpacing w:w="0" w:type="dxa"/>
                    </w:trPr>
                    <w:tc>
                      <w:tcPr>
                        <w:tcW w:w="0" w:type="auto"/>
                        <w:tcBorders>
                          <w:top w:val="single" w:sz="6" w:space="0" w:color="auto"/>
                          <w:left w:val="nil"/>
                          <w:bottom w:val="nil"/>
                          <w:right w:val="nil"/>
                        </w:tcBorders>
                        <w:vAlign w:val="center"/>
                        <w:hideMark/>
                      </w:tcPr>
                      <w:p w:rsidR="00731663" w:rsidRDefault="00731663">
                        <w:pPr>
                          <w:pStyle w:val="NormaleWeb"/>
                        </w:pPr>
                        <w:r>
                          <w:t> </w:t>
                        </w:r>
                      </w:p>
                      <w:p w:rsidR="00731663" w:rsidRDefault="00731663">
                        <w:pPr>
                          <w:pStyle w:val="text"/>
                        </w:pPr>
                        <w:r>
                          <w:t>Vi ringraziamo per l'</w:t>
                        </w:r>
                        <w:proofErr w:type="spellStart"/>
                        <w:r>
                          <w:t>intersse</w:t>
                        </w:r>
                        <w:proofErr w:type="spellEnd"/>
                        <w:r>
                          <w:t xml:space="preserve"> mostrato nei confronti della nostra attività, vi invitiamo ad informare i vostri conoscenti e amici sulla possibilità di </w:t>
                        </w:r>
                        <w:hyperlink r:id="rId16" w:history="1">
                          <w:r>
                            <w:rPr>
                              <w:rStyle w:val="Collegamentoipertestuale"/>
                            </w:rPr>
                            <w:t xml:space="preserve">iscriversi alla nostra mailing-list </w:t>
                          </w:r>
                        </w:hyperlink>
                        <w:r>
                          <w:t>e ricevere così importanti informazioni utili sia professionalmente che come cittadino-consumatore</w:t>
                        </w:r>
                      </w:p>
                      <w:p w:rsidR="00731663" w:rsidRDefault="00731663">
                        <w:pPr>
                          <w:pStyle w:val="text"/>
                        </w:pPr>
                        <w:r>
                          <w:t xml:space="preserve">Ricevi questa Newsletter perché ti sei abbonato. </w:t>
                        </w:r>
                        <w:r>
                          <w:br/>
                          <w:t xml:space="preserve">Non sei più interessato? </w:t>
                        </w:r>
                        <w:hyperlink w:history="1">
                          <w:proofErr w:type="spellStart"/>
                          <w:r>
                            <w:rPr>
                              <w:rStyle w:val="Collegamentoipertestuale"/>
                            </w:rPr>
                            <w:t>Disiscriviti</w:t>
                          </w:r>
                          <w:proofErr w:type="spellEnd"/>
                        </w:hyperlink>
                        <w:r>
                          <w:t>.</w:t>
                        </w:r>
                      </w:p>
                      <w:p w:rsidR="00731663" w:rsidRDefault="00731663">
                        <w:pPr>
                          <w:pStyle w:val="NormaleWeb"/>
                        </w:pPr>
                        <w:r>
                          <w:t> </w:t>
                        </w:r>
                      </w:p>
                    </w:tc>
                  </w:tr>
                </w:tbl>
                <w:p w:rsidR="00731663" w:rsidRDefault="007316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50"/>
                  </w:tblGrid>
                  <w:tr w:rsidR="00731663">
                    <w:trPr>
                      <w:tblCellSpacing w:w="0" w:type="dxa"/>
                    </w:trPr>
                    <w:tc>
                      <w:tcPr>
                        <w:tcW w:w="0" w:type="auto"/>
                        <w:shd w:val="clear" w:color="auto" w:fill="F4F4F4"/>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4935"/>
                          <w:gridCol w:w="4815"/>
                        </w:tblGrid>
                        <w:tr w:rsidR="00731663">
                          <w:trPr>
                            <w:tblCellSpacing w:w="0" w:type="dxa"/>
                          </w:trPr>
                          <w:tc>
                            <w:tcPr>
                              <w:tcW w:w="4935" w:type="dxa"/>
                              <w:vAlign w:val="center"/>
                              <w:hideMark/>
                            </w:tcPr>
                            <w:p w:rsidR="00731663" w:rsidRDefault="00731663">
                              <w:pPr>
                                <w:pStyle w:val="Titolo3"/>
                                <w:rPr>
                                  <w:rFonts w:ascii="Helvetica" w:eastAsia="Times New Roman" w:hAnsi="Helvetica" w:cs="Helvetica"/>
                                  <w:sz w:val="27"/>
                                  <w:szCs w:val="27"/>
                                </w:rPr>
                              </w:pPr>
                              <w:proofErr w:type="spellStart"/>
                              <w:r>
                                <w:rPr>
                                  <w:rFonts w:ascii="Helvetica" w:eastAsia="Times New Roman" w:hAnsi="Helvetica" w:cs="Helvetica"/>
                                  <w:color w:val="CCCCCC"/>
                                  <w:sz w:val="27"/>
                                  <w:szCs w:val="27"/>
                                </w:rPr>
                                <w:t>Impressum</w:t>
                              </w:r>
                              <w:proofErr w:type="spellEnd"/>
                            </w:p>
                            <w:p w:rsidR="00731663" w:rsidRDefault="00731663">
                              <w:pPr>
                                <w:pStyle w:val="text"/>
                              </w:pPr>
                              <w:r>
                                <w:t> </w:t>
                              </w:r>
                              <w:r>
                                <w:br/>
                                <w:t>Dipartimento della sanità e della socialità</w:t>
                              </w:r>
                              <w:r>
                                <w:br/>
                                <w:t>Divisione della salute pubblica</w:t>
                              </w:r>
                              <w:r>
                                <w:br/>
                              </w:r>
                              <w:r>
                                <w:br/>
                              </w:r>
                              <w:r>
                                <w:rPr>
                                  <w:b/>
                                  <w:bCs/>
                                </w:rPr>
                                <w:t>Laboratorio cantonale</w:t>
                              </w:r>
                              <w:r>
                                <w:br/>
                                <w:t>Via Mirasole 22</w:t>
                              </w:r>
                              <w:r>
                                <w:br/>
                                <w:t>6500 Bellinzona</w:t>
                              </w:r>
                            </w:p>
                          </w:tc>
                          <w:tc>
                            <w:tcPr>
                              <w:tcW w:w="0" w:type="auto"/>
                              <w:vAlign w:val="center"/>
                              <w:hideMark/>
                            </w:tcPr>
                            <w:p w:rsidR="00731663" w:rsidRDefault="00731663">
                              <w:pPr>
                                <w:pStyle w:val="NormaleWeb"/>
                              </w:pPr>
                              <w:r>
                                <w:t> </w:t>
                              </w:r>
                            </w:p>
                            <w:p w:rsidR="00731663" w:rsidRDefault="00731663">
                              <w:pPr>
                                <w:pStyle w:val="NormaleWeb"/>
                              </w:pPr>
                              <w:r>
                                <w:t> </w:t>
                              </w:r>
                            </w:p>
                            <w:p w:rsidR="00731663" w:rsidRDefault="00731663">
                              <w:pPr>
                                <w:pStyle w:val="NormaleWeb"/>
                              </w:pPr>
                              <w:r>
                                <w:t> </w:t>
                              </w:r>
                            </w:p>
                            <w:p w:rsidR="00731663" w:rsidRDefault="00731663">
                              <w:pPr>
                                <w:pStyle w:val="text"/>
                              </w:pPr>
                              <w:r>
                                <w:t>tel. +41 91 814 61 11</w:t>
                              </w:r>
                              <w:r>
                                <w:br/>
                                <w:t>fax +41 91 814 61 19</w:t>
                              </w:r>
                              <w:r>
                                <w:br/>
                              </w:r>
                              <w:hyperlink r:id="rId17" w:history="1">
                                <w:r>
                                  <w:rPr>
                                    <w:rStyle w:val="Collegamentoipertestuale"/>
                                  </w:rPr>
                                  <w:t>dss-lc@ti.ch</w:t>
                                </w:r>
                              </w:hyperlink>
                              <w:r>
                                <w:t xml:space="preserve"> </w:t>
                              </w:r>
                              <w:r>
                                <w:br/>
                              </w:r>
                              <w:r>
                                <w:br/>
                              </w:r>
                              <w:hyperlink r:id="rId18" w:history="1">
                                <w:r>
                                  <w:rPr>
                                    <w:rStyle w:val="Collegamentoipertestuale"/>
                                  </w:rPr>
                                  <w:t>www.ti.ch/laboratorio</w:t>
                                </w:r>
                              </w:hyperlink>
                            </w:p>
                          </w:tc>
                        </w:tr>
                      </w:tbl>
                      <w:p w:rsidR="00731663" w:rsidRDefault="00731663">
                        <w:pPr>
                          <w:rPr>
                            <w:rFonts w:ascii="Times New Roman" w:eastAsia="Times New Roman" w:hAnsi="Times New Roman" w:cs="Times New Roman"/>
                            <w:sz w:val="20"/>
                            <w:szCs w:val="20"/>
                          </w:rPr>
                        </w:pPr>
                      </w:p>
                    </w:tc>
                  </w:tr>
                </w:tbl>
                <w:p w:rsidR="00731663" w:rsidRDefault="00731663">
                  <w:pPr>
                    <w:rPr>
                      <w:rFonts w:ascii="Times New Roman" w:eastAsia="Times New Roman" w:hAnsi="Times New Roman" w:cs="Times New Roman"/>
                      <w:sz w:val="20"/>
                      <w:szCs w:val="20"/>
                    </w:rPr>
                  </w:pPr>
                </w:p>
              </w:tc>
            </w:tr>
          </w:tbl>
          <w:p w:rsidR="00731663" w:rsidRDefault="00731663">
            <w:pPr>
              <w:rPr>
                <w:rFonts w:eastAsia="Times New Roman"/>
              </w:rPr>
            </w:pPr>
            <w:r>
              <w:rPr>
                <w:rFonts w:eastAsia="Times New Roman"/>
                <w:noProof/>
              </w:rPr>
              <w:lastRenderedPageBreak/>
              <w:drawing>
                <wp:inline distT="0" distB="0" distL="0" distR="0">
                  <wp:extent cx="17526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p w:rsidR="00731663" w:rsidRDefault="00731663">
            <w:pPr>
              <w:pStyle w:val="NormaleWeb"/>
            </w:pPr>
            <w:r>
              <w:t> </w:t>
            </w:r>
          </w:p>
        </w:tc>
      </w:tr>
    </w:tbl>
    <w:p w:rsidR="00301ABA" w:rsidRDefault="00301ABA">
      <w:bookmarkStart w:id="0" w:name="_GoBack"/>
      <w:bookmarkEnd w:id="0"/>
    </w:p>
    <w:sectPr w:rsidR="00301A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81996"/>
    <w:multiLevelType w:val="multilevel"/>
    <w:tmpl w:val="85686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63"/>
    <w:rsid w:val="00301ABA"/>
    <w:rsid w:val="0073166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11B59-BCB6-43E9-B5C8-D8556FA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1663"/>
    <w:pPr>
      <w:spacing w:after="0" w:line="240" w:lineRule="auto"/>
    </w:pPr>
    <w:rPr>
      <w:rFonts w:ascii="Calibri" w:hAnsi="Calibri" w:cs="Calibri"/>
      <w:lang w:eastAsia="it-CH"/>
    </w:rPr>
  </w:style>
  <w:style w:type="paragraph" w:styleId="Titolo1">
    <w:name w:val="heading 1"/>
    <w:basedOn w:val="Normale"/>
    <w:link w:val="Titolo1Carattere"/>
    <w:uiPriority w:val="9"/>
    <w:qFormat/>
    <w:rsid w:val="00731663"/>
    <w:pPr>
      <w:outlineLvl w:val="0"/>
    </w:pPr>
    <w:rPr>
      <w:rFonts w:ascii="Arial" w:hAnsi="Arial" w:cs="Arial"/>
      <w:color w:val="333333"/>
      <w:kern w:val="36"/>
      <w:sz w:val="90"/>
      <w:szCs w:val="90"/>
    </w:rPr>
  </w:style>
  <w:style w:type="paragraph" w:styleId="Titolo2">
    <w:name w:val="heading 2"/>
    <w:basedOn w:val="Normale"/>
    <w:link w:val="Titolo2Carattere"/>
    <w:uiPriority w:val="9"/>
    <w:semiHidden/>
    <w:unhideWhenUsed/>
    <w:qFormat/>
    <w:rsid w:val="00731663"/>
    <w:pPr>
      <w:spacing w:before="360" w:after="15"/>
      <w:outlineLvl w:val="1"/>
    </w:pPr>
    <w:rPr>
      <w:rFonts w:ascii="Arial" w:hAnsi="Arial" w:cs="Arial"/>
      <w:b/>
      <w:bCs/>
      <w:color w:val="D84C9B"/>
      <w:sz w:val="48"/>
      <w:szCs w:val="48"/>
    </w:rPr>
  </w:style>
  <w:style w:type="paragraph" w:styleId="Titolo3">
    <w:name w:val="heading 3"/>
    <w:basedOn w:val="Normale"/>
    <w:link w:val="Titolo3Carattere"/>
    <w:uiPriority w:val="9"/>
    <w:semiHidden/>
    <w:unhideWhenUsed/>
    <w:qFormat/>
    <w:rsid w:val="00731663"/>
    <w:pPr>
      <w:outlineLvl w:val="2"/>
    </w:pPr>
    <w:rPr>
      <w:rFonts w:ascii="Arial" w:hAnsi="Arial" w:cs="Arial"/>
      <w:b/>
      <w:bCs/>
      <w:color w:val="FFFFFF"/>
      <w:sz w:val="36"/>
      <w:szCs w:val="36"/>
    </w:rPr>
  </w:style>
  <w:style w:type="paragraph" w:styleId="Titolo4">
    <w:name w:val="heading 4"/>
    <w:basedOn w:val="Normale"/>
    <w:link w:val="Titolo4Carattere"/>
    <w:uiPriority w:val="9"/>
    <w:semiHidden/>
    <w:unhideWhenUsed/>
    <w:qFormat/>
    <w:rsid w:val="00731663"/>
    <w:pPr>
      <w:spacing w:after="180"/>
      <w:outlineLvl w:val="3"/>
    </w:pPr>
    <w:rPr>
      <w:rFonts w:ascii="Arial" w:hAnsi="Arial" w:cs="Arial"/>
      <w:b/>
      <w:bCs/>
      <w:color w:val="333333"/>
      <w:sz w:val="27"/>
      <w:szCs w:val="27"/>
    </w:rPr>
  </w:style>
  <w:style w:type="paragraph" w:styleId="Titolo5">
    <w:name w:val="heading 5"/>
    <w:basedOn w:val="Normale"/>
    <w:link w:val="Titolo5Carattere"/>
    <w:uiPriority w:val="9"/>
    <w:semiHidden/>
    <w:unhideWhenUsed/>
    <w:qFormat/>
    <w:rsid w:val="00731663"/>
    <w:pPr>
      <w:outlineLvl w:val="4"/>
    </w:pPr>
    <w:rPr>
      <w:rFonts w:ascii="Arial" w:hAnsi="Arial" w:cs="Arial"/>
      <w:b/>
      <w:bCs/>
      <w:color w:val="333333"/>
      <w:sz w:val="45"/>
      <w:szCs w:val="4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1663"/>
    <w:rPr>
      <w:rFonts w:ascii="Arial" w:hAnsi="Arial" w:cs="Arial"/>
      <w:color w:val="333333"/>
      <w:kern w:val="36"/>
      <w:sz w:val="90"/>
      <w:szCs w:val="90"/>
      <w:lang w:eastAsia="it-CH"/>
    </w:rPr>
  </w:style>
  <w:style w:type="character" w:customStyle="1" w:styleId="Titolo2Carattere">
    <w:name w:val="Titolo 2 Carattere"/>
    <w:basedOn w:val="Carpredefinitoparagrafo"/>
    <w:link w:val="Titolo2"/>
    <w:uiPriority w:val="9"/>
    <w:semiHidden/>
    <w:rsid w:val="00731663"/>
    <w:rPr>
      <w:rFonts w:ascii="Arial" w:hAnsi="Arial" w:cs="Arial"/>
      <w:b/>
      <w:bCs/>
      <w:color w:val="D84C9B"/>
      <w:sz w:val="48"/>
      <w:szCs w:val="48"/>
      <w:lang w:eastAsia="it-CH"/>
    </w:rPr>
  </w:style>
  <w:style w:type="character" w:customStyle="1" w:styleId="Titolo3Carattere">
    <w:name w:val="Titolo 3 Carattere"/>
    <w:basedOn w:val="Carpredefinitoparagrafo"/>
    <w:link w:val="Titolo3"/>
    <w:uiPriority w:val="9"/>
    <w:semiHidden/>
    <w:rsid w:val="00731663"/>
    <w:rPr>
      <w:rFonts w:ascii="Arial" w:hAnsi="Arial" w:cs="Arial"/>
      <w:b/>
      <w:bCs/>
      <w:color w:val="FFFFFF"/>
      <w:sz w:val="36"/>
      <w:szCs w:val="36"/>
      <w:lang w:eastAsia="it-CH"/>
    </w:rPr>
  </w:style>
  <w:style w:type="character" w:customStyle="1" w:styleId="Titolo4Carattere">
    <w:name w:val="Titolo 4 Carattere"/>
    <w:basedOn w:val="Carpredefinitoparagrafo"/>
    <w:link w:val="Titolo4"/>
    <w:uiPriority w:val="9"/>
    <w:semiHidden/>
    <w:rsid w:val="00731663"/>
    <w:rPr>
      <w:rFonts w:ascii="Arial" w:hAnsi="Arial" w:cs="Arial"/>
      <w:b/>
      <w:bCs/>
      <w:color w:val="333333"/>
      <w:sz w:val="27"/>
      <w:szCs w:val="27"/>
      <w:lang w:eastAsia="it-CH"/>
    </w:rPr>
  </w:style>
  <w:style w:type="character" w:customStyle="1" w:styleId="Titolo5Carattere">
    <w:name w:val="Titolo 5 Carattere"/>
    <w:basedOn w:val="Carpredefinitoparagrafo"/>
    <w:link w:val="Titolo5"/>
    <w:uiPriority w:val="9"/>
    <w:semiHidden/>
    <w:rsid w:val="00731663"/>
    <w:rPr>
      <w:rFonts w:ascii="Arial" w:hAnsi="Arial" w:cs="Arial"/>
      <w:b/>
      <w:bCs/>
      <w:color w:val="333333"/>
      <w:sz w:val="45"/>
      <w:szCs w:val="45"/>
      <w:lang w:eastAsia="it-CH"/>
    </w:rPr>
  </w:style>
  <w:style w:type="character" w:styleId="Collegamentoipertestuale">
    <w:name w:val="Hyperlink"/>
    <w:basedOn w:val="Carpredefinitoparagrafo"/>
    <w:uiPriority w:val="99"/>
    <w:semiHidden/>
    <w:unhideWhenUsed/>
    <w:rsid w:val="00731663"/>
    <w:rPr>
      <w:strike w:val="0"/>
      <w:dstrike w:val="0"/>
      <w:color w:val="4B98D7"/>
      <w:u w:val="none"/>
      <w:effect w:val="none"/>
    </w:rPr>
  </w:style>
  <w:style w:type="paragraph" w:styleId="NormaleWeb">
    <w:name w:val="Normal (Web)"/>
    <w:basedOn w:val="Normale"/>
    <w:uiPriority w:val="99"/>
    <w:semiHidden/>
    <w:unhideWhenUsed/>
    <w:rsid w:val="00731663"/>
    <w:pPr>
      <w:spacing w:line="315" w:lineRule="atLeast"/>
    </w:pPr>
    <w:rPr>
      <w:rFonts w:ascii="Georgia" w:hAnsi="Georgia"/>
      <w:color w:val="333333"/>
      <w:sz w:val="24"/>
      <w:szCs w:val="24"/>
    </w:rPr>
  </w:style>
  <w:style w:type="paragraph" w:customStyle="1" w:styleId="text">
    <w:name w:val="text"/>
    <w:basedOn w:val="Normale"/>
    <w:uiPriority w:val="99"/>
    <w:semiHidden/>
    <w:rsid w:val="00731663"/>
    <w:pPr>
      <w:spacing w:after="45"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dss.news.ti.ch/link.php?M=19838&amp;N=588&amp;L=10&amp;F=H" TargetMode="External"/><Relationship Id="rId3" Type="http://schemas.openxmlformats.org/officeDocument/2006/relationships/settings" Target="settings.xml"/><Relationship Id="rId7" Type="http://schemas.openxmlformats.org/officeDocument/2006/relationships/hyperlink" Target="http://dss.news.ti.ch/link.php?M=19838&amp;N=588&amp;L=10&amp;F=H" TargetMode="External"/><Relationship Id="rId12" Type="http://schemas.openxmlformats.org/officeDocument/2006/relationships/image" Target="media/image4.jpeg"/><Relationship Id="rId17" Type="http://schemas.openxmlformats.org/officeDocument/2006/relationships/hyperlink" Target="mailto:dss-lc@ti.ch" TargetMode="External"/><Relationship Id="rId2" Type="http://schemas.openxmlformats.org/officeDocument/2006/relationships/styles" Target="styles.xml"/><Relationship Id="rId16" Type="http://schemas.openxmlformats.org/officeDocument/2006/relationships/hyperlink" Target="http://dss.news.ti.ch/link.php?M=19838&amp;N=588&amp;L=10&amp;F=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dss.news.ti.ch/link.php?M=19838&amp;N=588&amp;L=22&amp;F=H" TargetMode="External"/><Relationship Id="rId15" Type="http://schemas.openxmlformats.org/officeDocument/2006/relationships/hyperlink" Target="http://dss.news.ti.ch/link.php?M=19838&amp;N=588&amp;L=1195&amp;F=H" TargetMode="External"/><Relationship Id="rId10" Type="http://schemas.openxmlformats.org/officeDocument/2006/relationships/hyperlink" Target="http://dss.news.ti.ch/link.php?M=19838&amp;N=588&amp;L=1194&amp;F=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s.news.ti.ch/link.php?M=19838&amp;N=588&amp;L=1197&amp;F=H" TargetMode="External"/><Relationship Id="rId14" Type="http://schemas.openxmlformats.org/officeDocument/2006/relationships/hyperlink" Target="http://dss.news.ti.ch/link.php?M=19838&amp;N=588&amp;L=1196&amp;F=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Bedigliora</dc:creator>
  <cp:keywords/>
  <dc:description/>
  <cp:lastModifiedBy>Municipio Bedigliora</cp:lastModifiedBy>
  <cp:revision>1</cp:revision>
  <dcterms:created xsi:type="dcterms:W3CDTF">2019-12-10T10:32:00Z</dcterms:created>
  <dcterms:modified xsi:type="dcterms:W3CDTF">2019-12-10T10:33:00Z</dcterms:modified>
</cp:coreProperties>
</file>